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562" w:rsidRDefault="009A2562" w:rsidP="009A2562">
      <w:pPr>
        <w:pStyle w:val="Default"/>
      </w:pPr>
    </w:p>
    <w:p w:rsidR="009A2562" w:rsidRDefault="009A2562" w:rsidP="009A2562">
      <w:pPr>
        <w:pStyle w:val="Default"/>
        <w:rPr>
          <w:sz w:val="22"/>
          <w:szCs w:val="22"/>
        </w:rPr>
      </w:pPr>
      <w:r>
        <w:t xml:space="preserve"> </w:t>
      </w:r>
      <w:r>
        <w:rPr>
          <w:b/>
          <w:bCs/>
          <w:sz w:val="28"/>
          <w:szCs w:val="28"/>
        </w:rPr>
        <w:t>G</w:t>
      </w:r>
      <w:r>
        <w:rPr>
          <w:b/>
          <w:bCs/>
          <w:sz w:val="22"/>
          <w:szCs w:val="22"/>
        </w:rPr>
        <w:t xml:space="preserve">EORGETOWN </w:t>
      </w:r>
      <w:r>
        <w:rPr>
          <w:b/>
          <w:bCs/>
          <w:sz w:val="28"/>
          <w:szCs w:val="28"/>
        </w:rPr>
        <w:t>U</w:t>
      </w:r>
      <w:r>
        <w:rPr>
          <w:b/>
          <w:bCs/>
          <w:sz w:val="22"/>
          <w:szCs w:val="22"/>
        </w:rPr>
        <w:t xml:space="preserve">NIVERSITY </w:t>
      </w:r>
    </w:p>
    <w:p w:rsidR="009A2562" w:rsidRDefault="009A2562" w:rsidP="009A2562">
      <w:pPr>
        <w:pStyle w:val="Default"/>
        <w:rPr>
          <w:b/>
          <w:bCs/>
          <w:i/>
          <w:iCs/>
          <w:sz w:val="23"/>
          <w:szCs w:val="23"/>
        </w:rPr>
      </w:pPr>
    </w:p>
    <w:p w:rsidR="009A2562" w:rsidRDefault="009A2562" w:rsidP="009A2562">
      <w:pPr>
        <w:pStyle w:val="Default"/>
        <w:rPr>
          <w:sz w:val="23"/>
          <w:szCs w:val="23"/>
        </w:rPr>
      </w:pPr>
      <w:proofErr w:type="spellStart"/>
      <w:r>
        <w:rPr>
          <w:b/>
          <w:bCs/>
          <w:i/>
          <w:iCs/>
          <w:sz w:val="23"/>
          <w:szCs w:val="23"/>
        </w:rPr>
        <w:t>Masters</w:t>
      </w:r>
      <w:proofErr w:type="spellEnd"/>
      <w:r>
        <w:rPr>
          <w:b/>
          <w:bCs/>
          <w:i/>
          <w:iCs/>
          <w:sz w:val="23"/>
          <w:szCs w:val="23"/>
        </w:rPr>
        <w:t xml:space="preserve"> Degree Program in Applied Economics </w:t>
      </w:r>
    </w:p>
    <w:p w:rsidR="009A2562" w:rsidRDefault="009A2562" w:rsidP="009A2562">
      <w:pPr>
        <w:pStyle w:val="Default"/>
        <w:rPr>
          <w:b/>
          <w:bCs/>
          <w:color w:val="006EC0"/>
          <w:sz w:val="23"/>
          <w:szCs w:val="23"/>
        </w:rPr>
      </w:pPr>
    </w:p>
    <w:p w:rsidR="009A2562" w:rsidRDefault="009A2562" w:rsidP="009A2562">
      <w:pPr>
        <w:pStyle w:val="Default"/>
        <w:rPr>
          <w:color w:val="006EC0"/>
          <w:sz w:val="19"/>
          <w:szCs w:val="19"/>
        </w:rPr>
      </w:pPr>
      <w:r>
        <w:rPr>
          <w:b/>
          <w:bCs/>
          <w:color w:val="006EC0"/>
          <w:sz w:val="23"/>
          <w:szCs w:val="23"/>
        </w:rPr>
        <w:t>ECON 562 – I</w:t>
      </w:r>
      <w:r>
        <w:rPr>
          <w:b/>
          <w:bCs/>
          <w:color w:val="006EC0"/>
          <w:sz w:val="19"/>
          <w:szCs w:val="19"/>
        </w:rPr>
        <w:t xml:space="preserve">NDUSTRIAL </w:t>
      </w:r>
      <w:r>
        <w:rPr>
          <w:b/>
          <w:bCs/>
          <w:color w:val="006EC0"/>
          <w:sz w:val="23"/>
          <w:szCs w:val="23"/>
        </w:rPr>
        <w:t>O</w:t>
      </w:r>
      <w:r>
        <w:rPr>
          <w:b/>
          <w:bCs/>
          <w:color w:val="006EC0"/>
          <w:sz w:val="19"/>
          <w:szCs w:val="19"/>
        </w:rPr>
        <w:t xml:space="preserve">RGANIZATION </w:t>
      </w:r>
    </w:p>
    <w:p w:rsidR="009A2562" w:rsidRDefault="009A2562" w:rsidP="009A2562">
      <w:pPr>
        <w:pStyle w:val="Default"/>
        <w:rPr>
          <w:b/>
          <w:bCs/>
          <w:color w:val="006EC0"/>
          <w:sz w:val="23"/>
          <w:szCs w:val="23"/>
        </w:rPr>
      </w:pPr>
      <w:r>
        <w:rPr>
          <w:b/>
          <w:bCs/>
          <w:color w:val="006EC0"/>
          <w:sz w:val="23"/>
          <w:szCs w:val="23"/>
        </w:rPr>
        <w:t>Dr. Arons</w:t>
      </w:r>
    </w:p>
    <w:p w:rsidR="00EB7CA3" w:rsidRDefault="00CD6D71" w:rsidP="009A2562">
      <w:pPr>
        <w:pStyle w:val="Default"/>
        <w:rPr>
          <w:color w:val="006EC0"/>
          <w:sz w:val="23"/>
          <w:szCs w:val="23"/>
        </w:rPr>
      </w:pPr>
      <w:hyperlink r:id="rId4" w:history="1">
        <w:r w:rsidR="006A0BBF" w:rsidRPr="00512341">
          <w:rPr>
            <w:rStyle w:val="Hyperlink"/>
            <w:b/>
            <w:bCs/>
            <w:sz w:val="23"/>
            <w:szCs w:val="23"/>
          </w:rPr>
          <w:t>Robert.Arons@usdoj.gov</w:t>
        </w:r>
      </w:hyperlink>
      <w:r w:rsidR="00EB7CA3">
        <w:rPr>
          <w:b/>
          <w:bCs/>
          <w:color w:val="006EC0"/>
          <w:sz w:val="23"/>
          <w:szCs w:val="23"/>
        </w:rPr>
        <w:t xml:space="preserve"> include “IO 562” in subject</w:t>
      </w:r>
      <w:bookmarkStart w:id="0" w:name="_GoBack"/>
      <w:bookmarkEnd w:id="0"/>
    </w:p>
    <w:p w:rsidR="009A2562" w:rsidRDefault="009A2562" w:rsidP="009A2562">
      <w:pPr>
        <w:pStyle w:val="Default"/>
        <w:rPr>
          <w:sz w:val="23"/>
          <w:szCs w:val="23"/>
        </w:rPr>
      </w:pPr>
      <w:r>
        <w:rPr>
          <w:b/>
          <w:bCs/>
          <w:sz w:val="23"/>
          <w:szCs w:val="23"/>
        </w:rPr>
        <w:t>Spring 20</w:t>
      </w:r>
      <w:r w:rsidR="00CD6D71">
        <w:rPr>
          <w:b/>
          <w:bCs/>
          <w:sz w:val="23"/>
          <w:szCs w:val="23"/>
        </w:rPr>
        <w:t>2020</w:t>
      </w:r>
    </w:p>
    <w:p w:rsidR="009A2562" w:rsidRDefault="009A2562" w:rsidP="009A2562">
      <w:pPr>
        <w:pStyle w:val="Default"/>
        <w:rPr>
          <w:b/>
          <w:bCs/>
          <w:color w:val="006EC0"/>
          <w:sz w:val="23"/>
          <w:szCs w:val="23"/>
        </w:rPr>
      </w:pPr>
    </w:p>
    <w:p w:rsidR="009A2562" w:rsidRDefault="009A2562" w:rsidP="009A2562">
      <w:pPr>
        <w:pStyle w:val="Default"/>
        <w:rPr>
          <w:b/>
          <w:bCs/>
          <w:color w:val="006EC0"/>
          <w:sz w:val="19"/>
          <w:szCs w:val="19"/>
        </w:rPr>
      </w:pPr>
      <w:r>
        <w:rPr>
          <w:b/>
          <w:bCs/>
          <w:color w:val="006EC0"/>
          <w:sz w:val="23"/>
          <w:szCs w:val="23"/>
        </w:rPr>
        <w:t>D</w:t>
      </w:r>
      <w:r>
        <w:rPr>
          <w:b/>
          <w:bCs/>
          <w:color w:val="006EC0"/>
          <w:sz w:val="19"/>
          <w:szCs w:val="19"/>
        </w:rPr>
        <w:t xml:space="preserve">ESCRIPTION </w:t>
      </w:r>
    </w:p>
    <w:p w:rsidR="006A0BBF" w:rsidRDefault="006A0BBF" w:rsidP="009A2562">
      <w:pPr>
        <w:pStyle w:val="Default"/>
        <w:rPr>
          <w:color w:val="006EC0"/>
          <w:sz w:val="19"/>
          <w:szCs w:val="19"/>
        </w:rPr>
      </w:pPr>
    </w:p>
    <w:p w:rsidR="009A2562" w:rsidRDefault="009A2562" w:rsidP="009A2562">
      <w:pPr>
        <w:pStyle w:val="Default"/>
        <w:rPr>
          <w:sz w:val="22"/>
          <w:szCs w:val="22"/>
        </w:rPr>
      </w:pPr>
      <w:r>
        <w:rPr>
          <w:i/>
          <w:iCs/>
          <w:sz w:val="22"/>
          <w:szCs w:val="22"/>
        </w:rPr>
        <w:t>P</w:t>
      </w:r>
      <w:r>
        <w:rPr>
          <w:i/>
          <w:iCs/>
          <w:sz w:val="18"/>
          <w:szCs w:val="18"/>
        </w:rPr>
        <w:t>REREQUISITE</w:t>
      </w:r>
      <w:r>
        <w:rPr>
          <w:i/>
          <w:iCs/>
          <w:sz w:val="22"/>
          <w:szCs w:val="22"/>
        </w:rPr>
        <w:t>: ECON 551 – M</w:t>
      </w:r>
      <w:r>
        <w:rPr>
          <w:i/>
          <w:iCs/>
          <w:sz w:val="18"/>
          <w:szCs w:val="18"/>
        </w:rPr>
        <w:t>ICROECONOMICS</w:t>
      </w:r>
      <w:r>
        <w:rPr>
          <w:sz w:val="22"/>
          <w:szCs w:val="22"/>
        </w:rPr>
        <w:t xml:space="preserve">. This course is a survey of modern economic analysis of industrial organization. Emphasis will be on theory but with some coverage of empirical topics. Topics to be covered include theory of the firm, transaction cost economics, contract theory, static analysis of imperfect competition, collusion and dynamic competition, antitrust, product differentiation, price discrimination, incomplete information, bargaining and auctions. This is a hands-on course; students will critically review the economics literature for in-class presentation and active discussion. </w:t>
      </w:r>
    </w:p>
    <w:p w:rsidR="006A0BBF" w:rsidRDefault="006A0BBF" w:rsidP="009A2562">
      <w:pPr>
        <w:pStyle w:val="Default"/>
        <w:rPr>
          <w:sz w:val="22"/>
          <w:szCs w:val="22"/>
        </w:rPr>
      </w:pPr>
    </w:p>
    <w:p w:rsidR="009A2562" w:rsidRDefault="009A2562" w:rsidP="009A2562">
      <w:pPr>
        <w:pStyle w:val="Default"/>
        <w:rPr>
          <w:b/>
          <w:bCs/>
          <w:color w:val="006EC0"/>
          <w:sz w:val="19"/>
          <w:szCs w:val="19"/>
        </w:rPr>
      </w:pPr>
      <w:r>
        <w:rPr>
          <w:b/>
          <w:bCs/>
          <w:color w:val="006EC0"/>
          <w:sz w:val="23"/>
          <w:szCs w:val="23"/>
        </w:rPr>
        <w:t>G</w:t>
      </w:r>
      <w:r>
        <w:rPr>
          <w:b/>
          <w:bCs/>
          <w:color w:val="006EC0"/>
          <w:sz w:val="19"/>
          <w:szCs w:val="19"/>
        </w:rPr>
        <w:t xml:space="preserve">RADING </w:t>
      </w:r>
    </w:p>
    <w:p w:rsidR="006A0BBF" w:rsidRDefault="006A0BBF" w:rsidP="009A2562">
      <w:pPr>
        <w:pStyle w:val="Default"/>
        <w:rPr>
          <w:color w:val="006EC0"/>
          <w:sz w:val="19"/>
          <w:szCs w:val="19"/>
        </w:rPr>
      </w:pPr>
    </w:p>
    <w:p w:rsidR="009A2562" w:rsidRDefault="009A2562" w:rsidP="009A2562">
      <w:pPr>
        <w:pStyle w:val="Default"/>
        <w:rPr>
          <w:sz w:val="22"/>
          <w:szCs w:val="22"/>
        </w:rPr>
      </w:pPr>
      <w:r>
        <w:rPr>
          <w:sz w:val="22"/>
          <w:szCs w:val="22"/>
        </w:rPr>
        <w:t xml:space="preserve">Homework, Class Participation, Paper Write-Ups and Presentations, and a Final Exam will each count toward 20% of your final course grade.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If you have to miss a class, please let me know.</w:t>
      </w:r>
    </w:p>
    <w:p w:rsidR="009A2562" w:rsidRDefault="009A2562" w:rsidP="009A2562">
      <w:pPr>
        <w:pStyle w:val="Default"/>
        <w:rPr>
          <w:sz w:val="22"/>
          <w:szCs w:val="22"/>
        </w:rPr>
      </w:pPr>
      <w:r>
        <w:rPr>
          <w:sz w:val="22"/>
          <w:szCs w:val="22"/>
        </w:rPr>
        <w:t xml:space="preserve"> </w:t>
      </w:r>
    </w:p>
    <w:p w:rsidR="009A2562" w:rsidRDefault="009A2562" w:rsidP="009A2562">
      <w:pPr>
        <w:pStyle w:val="Default"/>
        <w:rPr>
          <w:color w:val="006EC0"/>
          <w:sz w:val="19"/>
          <w:szCs w:val="19"/>
        </w:rPr>
      </w:pPr>
      <w:r>
        <w:rPr>
          <w:b/>
          <w:bCs/>
          <w:color w:val="006EC0"/>
          <w:sz w:val="23"/>
          <w:szCs w:val="23"/>
        </w:rPr>
        <w:t>C</w:t>
      </w:r>
      <w:r>
        <w:rPr>
          <w:b/>
          <w:bCs/>
          <w:color w:val="006EC0"/>
          <w:sz w:val="19"/>
          <w:szCs w:val="19"/>
        </w:rPr>
        <w:t xml:space="preserve">OURSE </w:t>
      </w:r>
      <w:r>
        <w:rPr>
          <w:b/>
          <w:bCs/>
          <w:color w:val="006EC0"/>
          <w:sz w:val="23"/>
          <w:szCs w:val="23"/>
        </w:rPr>
        <w:t>S</w:t>
      </w:r>
      <w:r>
        <w:rPr>
          <w:b/>
          <w:bCs/>
          <w:color w:val="006EC0"/>
          <w:sz w:val="19"/>
          <w:szCs w:val="19"/>
        </w:rPr>
        <w:t xml:space="preserve">TRUCTURE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Each class will consist of two 70 minute sessions separated by a 10 minute break. The previous week’s homework will be due at the beginning of class. In the first of the two sessions, we will go over the answers to the homework questions from the previous week and discuss related issues in the topic area.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Each week, some students will choose (or be assigned) a published paper to read and present in the second session of class the following week. Every student in the class will present at least one paper sometime during the course, and likely two or more. When presenting, you should read your assigned paper carefully and be prepared to explain in a 10 minute presentation the paper’s main points. </w:t>
      </w:r>
      <w:r>
        <w:rPr>
          <w:i/>
          <w:iCs/>
          <w:sz w:val="22"/>
          <w:szCs w:val="22"/>
        </w:rPr>
        <w:t xml:space="preserve">All </w:t>
      </w:r>
      <w:r>
        <w:rPr>
          <w:sz w:val="22"/>
          <w:szCs w:val="22"/>
        </w:rPr>
        <w:t xml:space="preserve">students, however, are required to read each week’s papers, and may be called upon to answer questions in class.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After the paper presentations and discussion, a new topic area will be introduced. The homework assignment and designation of presenters for the following week will be given at the very end of each class. </w:t>
      </w:r>
    </w:p>
    <w:p w:rsidR="009A2562" w:rsidRDefault="009A2562" w:rsidP="009A2562">
      <w:pPr>
        <w:pStyle w:val="Default"/>
        <w:rPr>
          <w:color w:val="C00000"/>
          <w:sz w:val="22"/>
          <w:szCs w:val="22"/>
        </w:rPr>
      </w:pPr>
      <w:r>
        <w:rPr>
          <w:b/>
          <w:bCs/>
          <w:i/>
          <w:iCs/>
          <w:color w:val="C00000"/>
          <w:sz w:val="22"/>
          <w:szCs w:val="22"/>
        </w:rPr>
        <w:t xml:space="preserve">No electronic devices (such as laptops, smart phones) allowed during class time. </w:t>
      </w:r>
    </w:p>
    <w:p w:rsidR="009A2562" w:rsidRDefault="009A2562" w:rsidP="009A2562">
      <w:pPr>
        <w:pStyle w:val="Default"/>
        <w:rPr>
          <w:color w:val="C00000"/>
          <w:sz w:val="22"/>
          <w:szCs w:val="22"/>
        </w:rPr>
      </w:pPr>
      <w:r>
        <w:rPr>
          <w:b/>
          <w:bCs/>
          <w:i/>
          <w:iCs/>
          <w:color w:val="C00000"/>
          <w:sz w:val="22"/>
          <w:szCs w:val="22"/>
        </w:rPr>
        <w:t xml:space="preserve">Please stow these away. </w:t>
      </w:r>
    </w:p>
    <w:p w:rsidR="009A2562" w:rsidRDefault="009A2562" w:rsidP="009A2562">
      <w:pPr>
        <w:pStyle w:val="Default"/>
        <w:rPr>
          <w:rFonts w:ascii="Calibri" w:hAnsi="Calibri" w:cs="Calibri"/>
          <w:color w:val="C00000"/>
          <w:sz w:val="23"/>
          <w:szCs w:val="23"/>
        </w:rPr>
      </w:pPr>
    </w:p>
    <w:p w:rsidR="009A2562" w:rsidRDefault="009A2562" w:rsidP="009A2562">
      <w:pPr>
        <w:pStyle w:val="Default"/>
        <w:rPr>
          <w:b/>
          <w:bCs/>
          <w:color w:val="006EC0"/>
          <w:sz w:val="19"/>
          <w:szCs w:val="19"/>
        </w:rPr>
      </w:pPr>
      <w:r>
        <w:rPr>
          <w:b/>
          <w:bCs/>
          <w:color w:val="006EC0"/>
          <w:sz w:val="23"/>
          <w:szCs w:val="23"/>
        </w:rPr>
        <w:lastRenderedPageBreak/>
        <w:t>A</w:t>
      </w:r>
      <w:r>
        <w:rPr>
          <w:b/>
          <w:bCs/>
          <w:color w:val="006EC0"/>
          <w:sz w:val="19"/>
          <w:szCs w:val="19"/>
        </w:rPr>
        <w:t xml:space="preserve">CADEMIC </w:t>
      </w:r>
      <w:r>
        <w:rPr>
          <w:b/>
          <w:bCs/>
          <w:color w:val="006EC0"/>
          <w:sz w:val="23"/>
          <w:szCs w:val="23"/>
        </w:rPr>
        <w:t>I</w:t>
      </w:r>
      <w:r>
        <w:rPr>
          <w:b/>
          <w:bCs/>
          <w:color w:val="006EC0"/>
          <w:sz w:val="19"/>
          <w:szCs w:val="19"/>
        </w:rPr>
        <w:t xml:space="preserve">NTEGRITY </w:t>
      </w:r>
    </w:p>
    <w:p w:rsidR="006A0BBF" w:rsidRDefault="006A0BBF" w:rsidP="009A2562">
      <w:pPr>
        <w:pStyle w:val="Default"/>
        <w:rPr>
          <w:color w:val="006EC0"/>
          <w:sz w:val="19"/>
          <w:szCs w:val="19"/>
        </w:rPr>
      </w:pPr>
    </w:p>
    <w:p w:rsidR="009A2562" w:rsidRDefault="009A2562" w:rsidP="009A2562">
      <w:pPr>
        <w:pStyle w:val="Default"/>
        <w:rPr>
          <w:sz w:val="22"/>
          <w:szCs w:val="22"/>
        </w:rPr>
      </w:pPr>
      <w:r>
        <w:rPr>
          <w:sz w:val="22"/>
          <w:szCs w:val="22"/>
        </w:rPr>
        <w:t>The Graduate School’s rules and regulations regarding academic integrity are strictly observed</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Students are encouraged to form study groups and to collaborate, both on the weekly homework assignments and on analyzing the readings. The emphasis is on </w:t>
      </w:r>
      <w:r>
        <w:rPr>
          <w:i/>
          <w:iCs/>
          <w:sz w:val="22"/>
          <w:szCs w:val="22"/>
        </w:rPr>
        <w:t>collaboration</w:t>
      </w:r>
      <w:r>
        <w:rPr>
          <w:sz w:val="22"/>
          <w:szCs w:val="22"/>
        </w:rPr>
        <w:t xml:space="preserve">, an </w:t>
      </w:r>
      <w:r>
        <w:rPr>
          <w:i/>
          <w:iCs/>
          <w:sz w:val="22"/>
          <w:szCs w:val="22"/>
        </w:rPr>
        <w:t xml:space="preserve">active </w:t>
      </w:r>
      <w:r>
        <w:rPr>
          <w:sz w:val="22"/>
          <w:szCs w:val="22"/>
        </w:rPr>
        <w:t xml:space="preserve">exchange of ideas and questions that aid in understanding the course material. </w:t>
      </w:r>
    </w:p>
    <w:p w:rsidR="009A2562" w:rsidRDefault="009A2562" w:rsidP="009A2562">
      <w:pPr>
        <w:pStyle w:val="Default"/>
        <w:rPr>
          <w:sz w:val="22"/>
          <w:szCs w:val="22"/>
        </w:rPr>
      </w:pPr>
    </w:p>
    <w:p w:rsidR="009A2562" w:rsidRDefault="009A2562" w:rsidP="009A2562">
      <w:pPr>
        <w:pStyle w:val="Default"/>
        <w:rPr>
          <w:b/>
          <w:bCs/>
          <w:color w:val="006EC0"/>
          <w:sz w:val="19"/>
          <w:szCs w:val="19"/>
        </w:rPr>
      </w:pPr>
      <w:r>
        <w:rPr>
          <w:b/>
          <w:bCs/>
          <w:color w:val="006EC0"/>
          <w:sz w:val="23"/>
          <w:szCs w:val="23"/>
        </w:rPr>
        <w:t>T</w:t>
      </w:r>
      <w:r>
        <w:rPr>
          <w:b/>
          <w:bCs/>
          <w:color w:val="006EC0"/>
          <w:sz w:val="19"/>
          <w:szCs w:val="19"/>
        </w:rPr>
        <w:t>EXTBOOK</w:t>
      </w:r>
    </w:p>
    <w:p w:rsidR="0057481A" w:rsidRDefault="0057481A" w:rsidP="009A2562">
      <w:pPr>
        <w:pStyle w:val="Default"/>
        <w:rPr>
          <w:b/>
          <w:bCs/>
          <w:color w:val="006EC0"/>
          <w:sz w:val="19"/>
          <w:szCs w:val="19"/>
        </w:rPr>
      </w:pPr>
    </w:p>
    <w:p w:rsidR="009A2562" w:rsidRDefault="009A2562" w:rsidP="009A2562">
      <w:pPr>
        <w:pStyle w:val="Default"/>
        <w:rPr>
          <w:sz w:val="22"/>
          <w:szCs w:val="22"/>
        </w:rPr>
      </w:pPr>
      <w:r>
        <w:rPr>
          <w:sz w:val="22"/>
          <w:szCs w:val="22"/>
        </w:rPr>
        <w:t xml:space="preserve">Jean </w:t>
      </w:r>
      <w:proofErr w:type="spellStart"/>
      <w:r>
        <w:rPr>
          <w:sz w:val="22"/>
          <w:szCs w:val="22"/>
        </w:rPr>
        <w:t>Tirole</w:t>
      </w:r>
      <w:proofErr w:type="spellEnd"/>
      <w:r>
        <w:rPr>
          <w:sz w:val="22"/>
          <w:szCs w:val="22"/>
        </w:rPr>
        <w:t xml:space="preserve">, </w:t>
      </w:r>
      <w:r>
        <w:rPr>
          <w:i/>
          <w:iCs/>
          <w:sz w:val="22"/>
          <w:szCs w:val="22"/>
        </w:rPr>
        <w:t>The Theory of Industrial Organization</w:t>
      </w:r>
      <w:r>
        <w:rPr>
          <w:sz w:val="22"/>
          <w:szCs w:val="22"/>
        </w:rPr>
        <w:t xml:space="preserve">, MIT Press, 1988. </w:t>
      </w:r>
    </w:p>
    <w:p w:rsidR="009A2562" w:rsidRDefault="009A2562" w:rsidP="009A2562">
      <w:pPr>
        <w:pStyle w:val="Default"/>
        <w:rPr>
          <w:b/>
          <w:bCs/>
          <w:color w:val="006EC0"/>
          <w:sz w:val="23"/>
          <w:szCs w:val="23"/>
        </w:rPr>
      </w:pPr>
    </w:p>
    <w:p w:rsidR="009A2562" w:rsidRDefault="009A2562" w:rsidP="009A2562">
      <w:pPr>
        <w:pStyle w:val="Default"/>
        <w:rPr>
          <w:b/>
          <w:bCs/>
          <w:color w:val="006EC0"/>
          <w:sz w:val="19"/>
          <w:szCs w:val="19"/>
        </w:rPr>
      </w:pPr>
      <w:r>
        <w:rPr>
          <w:b/>
          <w:bCs/>
          <w:color w:val="006EC0"/>
          <w:sz w:val="23"/>
          <w:szCs w:val="23"/>
        </w:rPr>
        <w:t>C</w:t>
      </w:r>
      <w:r>
        <w:rPr>
          <w:b/>
          <w:bCs/>
          <w:color w:val="006EC0"/>
          <w:sz w:val="19"/>
          <w:szCs w:val="19"/>
        </w:rPr>
        <w:t xml:space="preserve">OURSE </w:t>
      </w:r>
      <w:r>
        <w:rPr>
          <w:b/>
          <w:bCs/>
          <w:color w:val="006EC0"/>
          <w:sz w:val="23"/>
          <w:szCs w:val="23"/>
        </w:rPr>
        <w:t>O</w:t>
      </w:r>
      <w:r>
        <w:rPr>
          <w:b/>
          <w:bCs/>
          <w:color w:val="006EC0"/>
          <w:sz w:val="19"/>
          <w:szCs w:val="19"/>
        </w:rPr>
        <w:t xml:space="preserve">UTLINE </w:t>
      </w:r>
    </w:p>
    <w:p w:rsidR="00EB7CA3" w:rsidRDefault="00EB7CA3" w:rsidP="009A2562">
      <w:pPr>
        <w:pStyle w:val="Default"/>
        <w:rPr>
          <w:color w:val="006EC0"/>
          <w:sz w:val="19"/>
          <w:szCs w:val="19"/>
        </w:rPr>
      </w:pPr>
    </w:p>
    <w:p w:rsidR="009A2562" w:rsidRDefault="009A2562" w:rsidP="009A2562">
      <w:pPr>
        <w:pStyle w:val="Default"/>
        <w:rPr>
          <w:sz w:val="22"/>
          <w:szCs w:val="22"/>
        </w:rPr>
      </w:pPr>
      <w:r>
        <w:rPr>
          <w:sz w:val="22"/>
          <w:szCs w:val="22"/>
        </w:rPr>
        <w:t xml:space="preserve">Readings are listed on the date due for presentation / discussion, having been assigned at the previous class meeting. Homework (HW) is also assigned at the meeting before it is due. </w:t>
      </w:r>
    </w:p>
    <w:p w:rsidR="009A2562" w:rsidRDefault="009A2562" w:rsidP="009A2562">
      <w:pPr>
        <w:pStyle w:val="Default"/>
        <w:rPr>
          <w:color w:val="006EC0"/>
          <w:sz w:val="22"/>
          <w:szCs w:val="22"/>
        </w:rPr>
      </w:pPr>
      <w:r>
        <w:rPr>
          <w:b/>
          <w:bCs/>
          <w:sz w:val="22"/>
          <w:szCs w:val="22"/>
        </w:rPr>
        <w:br/>
        <w:t xml:space="preserve">Week 1 </w:t>
      </w:r>
      <w:r>
        <w:rPr>
          <w:b/>
          <w:bCs/>
          <w:i/>
          <w:iCs/>
          <w:color w:val="006EC0"/>
          <w:sz w:val="22"/>
          <w:szCs w:val="22"/>
        </w:rPr>
        <w:t xml:space="preserve">Introduction &amp; Overview </w:t>
      </w:r>
    </w:p>
    <w:p w:rsidR="009A2562" w:rsidRDefault="009A2562" w:rsidP="009A2562">
      <w:pPr>
        <w:pStyle w:val="Default"/>
        <w:rPr>
          <w:i/>
          <w:iCs/>
          <w:sz w:val="22"/>
          <w:szCs w:val="22"/>
        </w:rPr>
      </w:pPr>
    </w:p>
    <w:p w:rsidR="009A2562" w:rsidRDefault="009A2562" w:rsidP="009A2562">
      <w:pPr>
        <w:pStyle w:val="Default"/>
        <w:rPr>
          <w:sz w:val="22"/>
          <w:szCs w:val="22"/>
        </w:rPr>
      </w:pPr>
      <w:proofErr w:type="spellStart"/>
      <w:r>
        <w:rPr>
          <w:i/>
          <w:iCs/>
          <w:sz w:val="22"/>
          <w:szCs w:val="22"/>
        </w:rPr>
        <w:t>Tirole</w:t>
      </w:r>
      <w:proofErr w:type="spellEnd"/>
      <w:r>
        <w:rPr>
          <w:sz w:val="22"/>
          <w:szCs w:val="22"/>
        </w:rPr>
        <w:t xml:space="preserve">, “Introduction,” pp. 1-14. </w:t>
      </w:r>
    </w:p>
    <w:p w:rsidR="009A2562" w:rsidRDefault="009A2562" w:rsidP="009A2562">
      <w:pPr>
        <w:pStyle w:val="Default"/>
        <w:rPr>
          <w:b/>
          <w:bCs/>
          <w:sz w:val="22"/>
          <w:szCs w:val="22"/>
        </w:rPr>
      </w:pPr>
    </w:p>
    <w:p w:rsidR="009A2562" w:rsidRDefault="009A2562" w:rsidP="009A2562">
      <w:pPr>
        <w:pStyle w:val="Default"/>
        <w:rPr>
          <w:sz w:val="22"/>
          <w:szCs w:val="22"/>
        </w:rPr>
      </w:pPr>
      <w:r>
        <w:rPr>
          <w:b/>
          <w:bCs/>
          <w:sz w:val="22"/>
          <w:szCs w:val="22"/>
        </w:rPr>
        <w:t xml:space="preserve">Week 2 </w:t>
      </w:r>
      <w:r>
        <w:rPr>
          <w:b/>
          <w:bCs/>
          <w:i/>
          <w:iCs/>
          <w:color w:val="006EC0"/>
          <w:sz w:val="22"/>
          <w:szCs w:val="22"/>
        </w:rPr>
        <w:t xml:space="preserve">Theories of the Firm </w:t>
      </w:r>
      <w:r>
        <w:rPr>
          <w:b/>
          <w:bCs/>
          <w:sz w:val="22"/>
          <w:szCs w:val="22"/>
        </w:rPr>
        <w:t xml:space="preserve">(HW#1 due) </w:t>
      </w:r>
    </w:p>
    <w:p w:rsidR="009A2562" w:rsidRDefault="009A2562" w:rsidP="009A2562">
      <w:pPr>
        <w:pStyle w:val="Default"/>
        <w:rPr>
          <w:i/>
          <w:iCs/>
          <w:sz w:val="22"/>
          <w:szCs w:val="22"/>
        </w:rPr>
      </w:pPr>
    </w:p>
    <w:p w:rsidR="009A2562" w:rsidRDefault="009A2562" w:rsidP="009A2562">
      <w:pPr>
        <w:pStyle w:val="Default"/>
        <w:rPr>
          <w:sz w:val="22"/>
          <w:szCs w:val="22"/>
        </w:rPr>
      </w:pPr>
      <w:proofErr w:type="spellStart"/>
      <w:r>
        <w:rPr>
          <w:i/>
          <w:iCs/>
          <w:sz w:val="22"/>
          <w:szCs w:val="22"/>
        </w:rPr>
        <w:t>Tirole</w:t>
      </w:r>
      <w:proofErr w:type="spellEnd"/>
      <w:r>
        <w:rPr>
          <w:sz w:val="22"/>
          <w:szCs w:val="22"/>
        </w:rPr>
        <w:t xml:space="preserve">, “The Theory of the Firm,” pp. 15-60.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Ronald H. Coase, “The Nature of the Firm,” </w:t>
      </w:r>
      <w:proofErr w:type="spellStart"/>
      <w:r>
        <w:rPr>
          <w:i/>
          <w:iCs/>
          <w:sz w:val="22"/>
          <w:szCs w:val="22"/>
        </w:rPr>
        <w:t>Economica</w:t>
      </w:r>
      <w:proofErr w:type="spellEnd"/>
      <w:r>
        <w:rPr>
          <w:sz w:val="22"/>
          <w:szCs w:val="22"/>
        </w:rPr>
        <w:t xml:space="preserve">, New Series, Vol. 4, No. 16 (Nov. 1937), pp. 386-405.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Armen A. </w:t>
      </w:r>
      <w:proofErr w:type="spellStart"/>
      <w:r>
        <w:rPr>
          <w:sz w:val="22"/>
          <w:szCs w:val="22"/>
        </w:rPr>
        <w:t>Alchian</w:t>
      </w:r>
      <w:proofErr w:type="spellEnd"/>
      <w:r>
        <w:rPr>
          <w:sz w:val="22"/>
          <w:szCs w:val="22"/>
        </w:rPr>
        <w:t xml:space="preserve"> and Harold </w:t>
      </w:r>
      <w:proofErr w:type="spellStart"/>
      <w:r>
        <w:rPr>
          <w:sz w:val="22"/>
          <w:szCs w:val="22"/>
        </w:rPr>
        <w:t>Demsetz</w:t>
      </w:r>
      <w:proofErr w:type="spellEnd"/>
      <w:r>
        <w:rPr>
          <w:sz w:val="22"/>
          <w:szCs w:val="22"/>
        </w:rPr>
        <w:t xml:space="preserve">, “Production, Information Costs, and Economic Organization,” </w:t>
      </w:r>
      <w:r>
        <w:rPr>
          <w:i/>
          <w:iCs/>
          <w:sz w:val="22"/>
          <w:szCs w:val="22"/>
        </w:rPr>
        <w:t>American Economic Review</w:t>
      </w:r>
      <w:r>
        <w:rPr>
          <w:sz w:val="22"/>
          <w:szCs w:val="22"/>
        </w:rPr>
        <w:t xml:space="preserve">, Vol. 65, No. 5 (Dec. 1972), pp. 777-795.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Bengt Holmstrom, “Moral Hazard in Teams,” </w:t>
      </w:r>
      <w:r>
        <w:rPr>
          <w:i/>
          <w:iCs/>
          <w:sz w:val="22"/>
          <w:szCs w:val="22"/>
        </w:rPr>
        <w:t>Bell Journal of Economics</w:t>
      </w:r>
      <w:r>
        <w:rPr>
          <w:sz w:val="22"/>
          <w:szCs w:val="22"/>
        </w:rPr>
        <w:t xml:space="preserve">, Vol. 13, No. 2 (Autumn 1982), pp. 324-340.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Steven N.S. Cheung, “The Contractual Nature of the Firm,” </w:t>
      </w:r>
      <w:r>
        <w:rPr>
          <w:i/>
          <w:iCs/>
          <w:sz w:val="22"/>
          <w:szCs w:val="22"/>
        </w:rPr>
        <w:t>Journal of Law &amp; Economics</w:t>
      </w:r>
      <w:r>
        <w:rPr>
          <w:sz w:val="22"/>
          <w:szCs w:val="22"/>
        </w:rPr>
        <w:t xml:space="preserve">, Vol. 26, No. 1 (April 1983), pp. 1-21. </w:t>
      </w:r>
    </w:p>
    <w:p w:rsidR="009A2562" w:rsidRDefault="009A2562" w:rsidP="009A2562">
      <w:pPr>
        <w:pStyle w:val="Default"/>
        <w:rPr>
          <w:rFonts w:ascii="Calibri" w:hAnsi="Calibri" w:cs="Calibri"/>
          <w:sz w:val="23"/>
          <w:szCs w:val="23"/>
        </w:rPr>
      </w:pPr>
    </w:p>
    <w:p w:rsidR="009A2562" w:rsidRDefault="009A2562" w:rsidP="009A2562">
      <w:pPr>
        <w:pStyle w:val="Default"/>
        <w:rPr>
          <w:sz w:val="22"/>
          <w:szCs w:val="22"/>
        </w:rPr>
      </w:pPr>
      <w:r>
        <w:rPr>
          <w:sz w:val="22"/>
          <w:szCs w:val="22"/>
        </w:rPr>
        <w:t xml:space="preserve">Eugene F. </w:t>
      </w:r>
      <w:proofErr w:type="spellStart"/>
      <w:r>
        <w:rPr>
          <w:sz w:val="22"/>
          <w:szCs w:val="22"/>
        </w:rPr>
        <w:t>Fama</w:t>
      </w:r>
      <w:proofErr w:type="spellEnd"/>
      <w:r>
        <w:rPr>
          <w:sz w:val="22"/>
          <w:szCs w:val="22"/>
        </w:rPr>
        <w:t xml:space="preserve"> and Michael C. Jensen, “Separation of Ownership and Control,” </w:t>
      </w:r>
      <w:r>
        <w:rPr>
          <w:i/>
          <w:iCs/>
          <w:sz w:val="22"/>
          <w:szCs w:val="22"/>
        </w:rPr>
        <w:t>Journal of Law &amp; Economics</w:t>
      </w:r>
      <w:r>
        <w:rPr>
          <w:sz w:val="22"/>
          <w:szCs w:val="22"/>
        </w:rPr>
        <w:t xml:space="preserve">, Vol. 26, No. 2, (June 1983), pp. 301-325.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Harold </w:t>
      </w:r>
      <w:proofErr w:type="spellStart"/>
      <w:r>
        <w:rPr>
          <w:sz w:val="22"/>
          <w:szCs w:val="22"/>
        </w:rPr>
        <w:t>Demsetz</w:t>
      </w:r>
      <w:proofErr w:type="spellEnd"/>
      <w:r>
        <w:rPr>
          <w:sz w:val="22"/>
          <w:szCs w:val="22"/>
        </w:rPr>
        <w:t xml:space="preserve"> and Kenneth Lehn, “The Structure of Corporate Ownership: Causes and Consequences,” </w:t>
      </w:r>
      <w:r>
        <w:rPr>
          <w:i/>
          <w:iCs/>
          <w:sz w:val="22"/>
          <w:szCs w:val="22"/>
        </w:rPr>
        <w:t>Journal of Political Economy</w:t>
      </w:r>
      <w:r>
        <w:rPr>
          <w:sz w:val="22"/>
          <w:szCs w:val="22"/>
        </w:rPr>
        <w:t xml:space="preserve">, Vol. 93, No. 6 (Dec. 1985), pp. 1155-1177.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Milton Harris and Artur </w:t>
      </w:r>
      <w:proofErr w:type="spellStart"/>
      <w:r>
        <w:rPr>
          <w:sz w:val="22"/>
          <w:szCs w:val="22"/>
        </w:rPr>
        <w:t>Raviv</w:t>
      </w:r>
      <w:proofErr w:type="spellEnd"/>
      <w:r>
        <w:rPr>
          <w:sz w:val="22"/>
          <w:szCs w:val="22"/>
        </w:rPr>
        <w:t xml:space="preserve">, “The Theory of Capital Structure,” </w:t>
      </w:r>
      <w:r>
        <w:rPr>
          <w:i/>
          <w:iCs/>
          <w:sz w:val="22"/>
          <w:szCs w:val="22"/>
        </w:rPr>
        <w:t>Journal of Finance</w:t>
      </w:r>
      <w:r>
        <w:rPr>
          <w:sz w:val="22"/>
          <w:szCs w:val="22"/>
        </w:rPr>
        <w:t xml:space="preserve">, Vol. 46, No. 1 (March 1991), pp. 297-355. </w:t>
      </w:r>
    </w:p>
    <w:p w:rsidR="009A2562" w:rsidRDefault="009A2562" w:rsidP="009A2562">
      <w:pPr>
        <w:pStyle w:val="Default"/>
        <w:rPr>
          <w:b/>
          <w:bCs/>
          <w:sz w:val="22"/>
          <w:szCs w:val="22"/>
        </w:rPr>
      </w:pPr>
    </w:p>
    <w:p w:rsidR="009A2562" w:rsidRDefault="009A2562" w:rsidP="009A2562">
      <w:pPr>
        <w:pStyle w:val="Default"/>
        <w:rPr>
          <w:sz w:val="22"/>
          <w:szCs w:val="22"/>
        </w:rPr>
      </w:pPr>
      <w:r>
        <w:rPr>
          <w:b/>
          <w:bCs/>
          <w:sz w:val="22"/>
          <w:szCs w:val="22"/>
        </w:rPr>
        <w:t xml:space="preserve">Week 3 </w:t>
      </w:r>
      <w:r>
        <w:rPr>
          <w:b/>
          <w:bCs/>
          <w:i/>
          <w:iCs/>
          <w:color w:val="006EC0"/>
          <w:sz w:val="22"/>
          <w:szCs w:val="22"/>
        </w:rPr>
        <w:t xml:space="preserve">Transaction Cost Economics </w:t>
      </w:r>
      <w:r>
        <w:rPr>
          <w:b/>
          <w:bCs/>
          <w:sz w:val="22"/>
          <w:szCs w:val="22"/>
        </w:rPr>
        <w:t xml:space="preserve">(HW#2 due) </w:t>
      </w:r>
    </w:p>
    <w:p w:rsidR="009A2562" w:rsidRDefault="009A2562" w:rsidP="009A2562">
      <w:pPr>
        <w:pStyle w:val="Default"/>
        <w:rPr>
          <w:i/>
          <w:iCs/>
          <w:sz w:val="22"/>
          <w:szCs w:val="22"/>
        </w:rPr>
      </w:pPr>
    </w:p>
    <w:p w:rsidR="009A2562" w:rsidRDefault="009A2562" w:rsidP="009A2562">
      <w:pPr>
        <w:pStyle w:val="Default"/>
        <w:rPr>
          <w:sz w:val="22"/>
          <w:szCs w:val="22"/>
        </w:rPr>
      </w:pPr>
      <w:proofErr w:type="spellStart"/>
      <w:r>
        <w:rPr>
          <w:i/>
          <w:iCs/>
          <w:sz w:val="22"/>
          <w:szCs w:val="22"/>
        </w:rPr>
        <w:lastRenderedPageBreak/>
        <w:t>Tirole</w:t>
      </w:r>
      <w:proofErr w:type="spellEnd"/>
      <w:r>
        <w:rPr>
          <w:sz w:val="22"/>
          <w:szCs w:val="22"/>
        </w:rPr>
        <w:t xml:space="preserve">, “Vertical Control,” Chapter 4 through 4.1.1, pp. 169-172. </w:t>
      </w:r>
    </w:p>
    <w:p w:rsidR="009A2562" w:rsidRDefault="009A2562" w:rsidP="009A2562">
      <w:pPr>
        <w:pStyle w:val="Default"/>
        <w:rPr>
          <w:sz w:val="22"/>
          <w:szCs w:val="22"/>
        </w:rPr>
      </w:pPr>
    </w:p>
    <w:p w:rsidR="009A2562" w:rsidRDefault="009A2562" w:rsidP="009A2562">
      <w:pPr>
        <w:pStyle w:val="Default"/>
        <w:rPr>
          <w:color w:val="1A1A1A"/>
          <w:sz w:val="22"/>
          <w:szCs w:val="22"/>
        </w:rPr>
      </w:pPr>
      <w:r>
        <w:rPr>
          <w:sz w:val="22"/>
          <w:szCs w:val="22"/>
        </w:rPr>
        <w:t xml:space="preserve">Benjamin Klein, Robert G. Crawford and Armen A. </w:t>
      </w:r>
      <w:proofErr w:type="spellStart"/>
      <w:r>
        <w:rPr>
          <w:sz w:val="22"/>
          <w:szCs w:val="22"/>
        </w:rPr>
        <w:t>Alchian</w:t>
      </w:r>
      <w:proofErr w:type="spellEnd"/>
      <w:r>
        <w:rPr>
          <w:sz w:val="22"/>
          <w:szCs w:val="22"/>
        </w:rPr>
        <w:t xml:space="preserve">, “Vertical Integration, Appropriable Rents, and the Competitive Contracting Process,” </w:t>
      </w:r>
      <w:r>
        <w:rPr>
          <w:i/>
          <w:iCs/>
          <w:sz w:val="22"/>
          <w:szCs w:val="22"/>
        </w:rPr>
        <w:t>Journal of Law &amp; Economics</w:t>
      </w:r>
      <w:r>
        <w:rPr>
          <w:sz w:val="22"/>
          <w:szCs w:val="22"/>
        </w:rPr>
        <w:t xml:space="preserve">, </w:t>
      </w:r>
      <w:r>
        <w:rPr>
          <w:color w:val="1A1A1A"/>
          <w:sz w:val="22"/>
          <w:szCs w:val="22"/>
        </w:rPr>
        <w:t xml:space="preserve">Vol. 21, No. 2 (Oct., 1978), pp. 297-326.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Paul L. </w:t>
      </w:r>
      <w:proofErr w:type="spellStart"/>
      <w:r>
        <w:rPr>
          <w:sz w:val="22"/>
          <w:szCs w:val="22"/>
        </w:rPr>
        <w:t>Joskow</w:t>
      </w:r>
      <w:proofErr w:type="spellEnd"/>
      <w:r>
        <w:rPr>
          <w:sz w:val="22"/>
          <w:szCs w:val="22"/>
        </w:rPr>
        <w:t xml:space="preserve">, “Contract duration and Relationship-Specific Investment: Empirical Evidence from Coal Markets,” </w:t>
      </w:r>
      <w:r>
        <w:rPr>
          <w:i/>
          <w:iCs/>
          <w:sz w:val="22"/>
          <w:szCs w:val="22"/>
        </w:rPr>
        <w:t>American Economic Review</w:t>
      </w:r>
      <w:r>
        <w:rPr>
          <w:sz w:val="22"/>
          <w:szCs w:val="22"/>
        </w:rPr>
        <w:t xml:space="preserve">, Vol. 77, No. 1 (March 1987), pp. 168-185.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Armen A. </w:t>
      </w:r>
      <w:proofErr w:type="spellStart"/>
      <w:r>
        <w:rPr>
          <w:color w:val="1A1A1A"/>
          <w:sz w:val="22"/>
          <w:szCs w:val="22"/>
        </w:rPr>
        <w:t>Alchian</w:t>
      </w:r>
      <w:proofErr w:type="spellEnd"/>
      <w:r>
        <w:rPr>
          <w:color w:val="1A1A1A"/>
          <w:sz w:val="22"/>
          <w:szCs w:val="22"/>
        </w:rPr>
        <w:t xml:space="preserve"> and Susan Woodward, “The Firm is Dead; Long Live the Firm: A Review of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Oliver E. Williamson’s </w:t>
      </w:r>
      <w:r>
        <w:rPr>
          <w:i/>
          <w:iCs/>
          <w:color w:val="1A1A1A"/>
          <w:sz w:val="22"/>
          <w:szCs w:val="22"/>
        </w:rPr>
        <w:t>The Economic Institutions of Capitalism</w:t>
      </w:r>
      <w:r>
        <w:rPr>
          <w:color w:val="1A1A1A"/>
          <w:sz w:val="22"/>
          <w:szCs w:val="22"/>
        </w:rPr>
        <w:t xml:space="preserve">,” </w:t>
      </w:r>
      <w:r>
        <w:rPr>
          <w:i/>
          <w:iCs/>
          <w:color w:val="1A1A1A"/>
          <w:sz w:val="22"/>
          <w:szCs w:val="22"/>
        </w:rPr>
        <w:t>Journal of Economic Literature</w:t>
      </w:r>
      <w:r>
        <w:rPr>
          <w:color w:val="1A1A1A"/>
          <w:sz w:val="22"/>
          <w:szCs w:val="22"/>
        </w:rPr>
        <w:t xml:space="preserve">, Vol. 26, No. 1 (March 1988), pp 65-79.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Benjamin Klein and Kevin M. Murphy, “</w:t>
      </w:r>
      <w:r>
        <w:rPr>
          <w:color w:val="2D2D2D"/>
          <w:sz w:val="22"/>
          <w:szCs w:val="22"/>
        </w:rPr>
        <w:t>Vertical Restraints as Contract Enforcement Mechanisms</w:t>
      </w:r>
      <w:r>
        <w:rPr>
          <w:color w:val="1A1A1A"/>
          <w:sz w:val="22"/>
          <w:szCs w:val="22"/>
        </w:rPr>
        <w:t xml:space="preserve">,” </w:t>
      </w:r>
      <w:r>
        <w:rPr>
          <w:i/>
          <w:iCs/>
          <w:color w:val="1A1A1A"/>
          <w:sz w:val="22"/>
          <w:szCs w:val="22"/>
        </w:rPr>
        <w:t>Journal of Law &amp; Economics</w:t>
      </w:r>
      <w:r>
        <w:rPr>
          <w:color w:val="1A1A1A"/>
          <w:sz w:val="22"/>
          <w:szCs w:val="22"/>
        </w:rPr>
        <w:t xml:space="preserve">, Vol. 31, No. 2 (Oct., 1988), pp. 265-297. </w:t>
      </w:r>
    </w:p>
    <w:p w:rsidR="009A2562" w:rsidRDefault="009A2562" w:rsidP="009A2562">
      <w:pPr>
        <w:pStyle w:val="Default"/>
        <w:rPr>
          <w:sz w:val="22"/>
          <w:szCs w:val="22"/>
        </w:rPr>
      </w:pPr>
    </w:p>
    <w:p w:rsidR="009A2562" w:rsidRDefault="009A2562" w:rsidP="009A2562">
      <w:pPr>
        <w:pStyle w:val="Default"/>
        <w:rPr>
          <w:color w:val="1A1A1A"/>
          <w:sz w:val="22"/>
          <w:szCs w:val="22"/>
        </w:rPr>
      </w:pPr>
      <w:r>
        <w:rPr>
          <w:sz w:val="22"/>
          <w:szCs w:val="22"/>
        </w:rPr>
        <w:t xml:space="preserve">Keith J. Crocker and Scott E. </w:t>
      </w:r>
      <w:proofErr w:type="spellStart"/>
      <w:r>
        <w:rPr>
          <w:sz w:val="22"/>
          <w:szCs w:val="22"/>
        </w:rPr>
        <w:t>Masten</w:t>
      </w:r>
      <w:proofErr w:type="spellEnd"/>
      <w:r>
        <w:rPr>
          <w:sz w:val="22"/>
          <w:szCs w:val="22"/>
        </w:rPr>
        <w:t>, “</w:t>
      </w:r>
      <w:proofErr w:type="spellStart"/>
      <w:r>
        <w:rPr>
          <w:sz w:val="22"/>
          <w:szCs w:val="22"/>
        </w:rPr>
        <w:t>Pretia</w:t>
      </w:r>
      <w:proofErr w:type="spellEnd"/>
      <w:r>
        <w:rPr>
          <w:sz w:val="22"/>
          <w:szCs w:val="22"/>
        </w:rPr>
        <w:t xml:space="preserve"> Ex Machina? Prices and Process </w:t>
      </w:r>
      <w:proofErr w:type="gramStart"/>
      <w:r>
        <w:rPr>
          <w:sz w:val="22"/>
          <w:szCs w:val="22"/>
        </w:rPr>
        <w:t>In</w:t>
      </w:r>
      <w:proofErr w:type="gramEnd"/>
      <w:r>
        <w:rPr>
          <w:sz w:val="22"/>
          <w:szCs w:val="22"/>
        </w:rPr>
        <w:t xml:space="preserve"> Long-Term Contracts,” </w:t>
      </w:r>
      <w:r>
        <w:rPr>
          <w:i/>
          <w:iCs/>
          <w:sz w:val="22"/>
          <w:szCs w:val="22"/>
        </w:rPr>
        <w:t>Journal of Law &amp; Economics</w:t>
      </w:r>
      <w:r>
        <w:rPr>
          <w:sz w:val="22"/>
          <w:szCs w:val="22"/>
        </w:rPr>
        <w:t>, Vol</w:t>
      </w:r>
      <w:r>
        <w:rPr>
          <w:color w:val="1A1A1A"/>
          <w:sz w:val="22"/>
          <w:szCs w:val="22"/>
        </w:rPr>
        <w:t xml:space="preserve">. 34, No. 1 (Apr., 1991), pp. 69-99.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Francine Lafontaine, “Agency Theory and Franchising: Some Empirical Results, “ </w:t>
      </w:r>
      <w:r>
        <w:rPr>
          <w:i/>
          <w:iCs/>
          <w:color w:val="1A1A1A"/>
          <w:sz w:val="22"/>
          <w:szCs w:val="22"/>
        </w:rPr>
        <w:t>RAND Journal of Economics</w:t>
      </w:r>
      <w:r>
        <w:rPr>
          <w:color w:val="1A1A1A"/>
          <w:sz w:val="22"/>
          <w:szCs w:val="22"/>
        </w:rPr>
        <w:t xml:space="preserve">, Vol. 23, No. 2 (Summer 1992), pp. 263-283.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F. Andrew Hanssen, “</w:t>
      </w:r>
      <w:r>
        <w:rPr>
          <w:color w:val="2D2D2D"/>
          <w:sz w:val="22"/>
          <w:szCs w:val="22"/>
        </w:rPr>
        <w:t>Vertical Integration during the Hollywood Studio Era</w:t>
      </w:r>
      <w:r>
        <w:rPr>
          <w:color w:val="1A1A1A"/>
          <w:sz w:val="22"/>
          <w:szCs w:val="22"/>
        </w:rPr>
        <w:t xml:space="preserve">,” </w:t>
      </w:r>
      <w:r>
        <w:rPr>
          <w:i/>
          <w:iCs/>
          <w:color w:val="1A1A1A"/>
          <w:sz w:val="22"/>
          <w:szCs w:val="22"/>
        </w:rPr>
        <w:t xml:space="preserve">Journal of Law &amp; Economics </w:t>
      </w:r>
      <w:r>
        <w:rPr>
          <w:color w:val="1A1A1A"/>
          <w:sz w:val="22"/>
          <w:szCs w:val="22"/>
        </w:rPr>
        <w:t xml:space="preserve">Vol. 53, No. 3 (Aug. 2010), pp. 519-543. </w:t>
      </w:r>
    </w:p>
    <w:p w:rsidR="009A2562" w:rsidRDefault="009A2562" w:rsidP="009A2562">
      <w:pPr>
        <w:pStyle w:val="Default"/>
        <w:rPr>
          <w:b/>
          <w:bCs/>
          <w:sz w:val="22"/>
          <w:szCs w:val="22"/>
        </w:rPr>
      </w:pPr>
    </w:p>
    <w:p w:rsidR="009A2562" w:rsidRDefault="009A2562" w:rsidP="009A2562">
      <w:pPr>
        <w:pStyle w:val="Default"/>
        <w:rPr>
          <w:sz w:val="22"/>
          <w:szCs w:val="22"/>
        </w:rPr>
      </w:pPr>
      <w:r>
        <w:rPr>
          <w:b/>
          <w:bCs/>
          <w:sz w:val="22"/>
          <w:szCs w:val="22"/>
        </w:rPr>
        <w:t xml:space="preserve">Week 4 </w:t>
      </w:r>
      <w:r>
        <w:rPr>
          <w:b/>
          <w:bCs/>
          <w:i/>
          <w:iCs/>
          <w:color w:val="006EC0"/>
          <w:sz w:val="22"/>
          <w:szCs w:val="22"/>
        </w:rPr>
        <w:t xml:space="preserve">Property Rights Theory </w:t>
      </w:r>
      <w:r>
        <w:rPr>
          <w:b/>
          <w:bCs/>
          <w:sz w:val="22"/>
          <w:szCs w:val="22"/>
        </w:rPr>
        <w:t xml:space="preserve">(HW#3 due) </w:t>
      </w:r>
    </w:p>
    <w:p w:rsidR="009A2562" w:rsidRDefault="009A2562" w:rsidP="009A2562">
      <w:pPr>
        <w:pStyle w:val="Default"/>
        <w:rPr>
          <w:color w:val="2D2D2D"/>
          <w:sz w:val="22"/>
          <w:szCs w:val="22"/>
        </w:rPr>
      </w:pPr>
    </w:p>
    <w:p w:rsidR="009A2562" w:rsidRDefault="009A2562" w:rsidP="009A2562">
      <w:pPr>
        <w:pStyle w:val="Default"/>
        <w:rPr>
          <w:color w:val="2D2D2D"/>
          <w:sz w:val="22"/>
          <w:szCs w:val="22"/>
        </w:rPr>
      </w:pPr>
      <w:r>
        <w:rPr>
          <w:color w:val="2D2D2D"/>
          <w:sz w:val="22"/>
          <w:szCs w:val="22"/>
        </w:rPr>
        <w:t xml:space="preserve">Ronald H. Coase, “The Problem of Social Cost,” </w:t>
      </w:r>
      <w:r>
        <w:rPr>
          <w:i/>
          <w:iCs/>
          <w:color w:val="2D2D2D"/>
          <w:sz w:val="22"/>
          <w:szCs w:val="22"/>
        </w:rPr>
        <w:t>Journal of Law &amp; Economics</w:t>
      </w:r>
      <w:r>
        <w:rPr>
          <w:color w:val="2D2D2D"/>
          <w:sz w:val="22"/>
          <w:szCs w:val="22"/>
        </w:rPr>
        <w:t xml:space="preserve">, Vol. 3, No. 1 (Oct. 1960), pp. 1-44. </w:t>
      </w:r>
    </w:p>
    <w:p w:rsidR="009A2562" w:rsidRDefault="009A2562" w:rsidP="009A2562">
      <w:pPr>
        <w:pStyle w:val="Default"/>
        <w:rPr>
          <w:color w:val="2D2D2D"/>
          <w:sz w:val="22"/>
          <w:szCs w:val="22"/>
        </w:rPr>
      </w:pPr>
    </w:p>
    <w:p w:rsidR="009A2562" w:rsidRDefault="009A2562" w:rsidP="009A2562">
      <w:pPr>
        <w:pStyle w:val="Default"/>
        <w:rPr>
          <w:color w:val="1A1A1A"/>
          <w:sz w:val="22"/>
          <w:szCs w:val="22"/>
        </w:rPr>
      </w:pPr>
      <w:r>
        <w:rPr>
          <w:color w:val="2D2D2D"/>
          <w:sz w:val="22"/>
          <w:szCs w:val="22"/>
        </w:rPr>
        <w:t xml:space="preserve">Harold </w:t>
      </w:r>
      <w:proofErr w:type="spellStart"/>
      <w:r>
        <w:rPr>
          <w:color w:val="2D2D2D"/>
          <w:sz w:val="22"/>
          <w:szCs w:val="22"/>
        </w:rPr>
        <w:t>Demsetz</w:t>
      </w:r>
      <w:proofErr w:type="spellEnd"/>
      <w:r>
        <w:rPr>
          <w:color w:val="2D2D2D"/>
          <w:sz w:val="22"/>
          <w:szCs w:val="22"/>
        </w:rPr>
        <w:t xml:space="preserve">, “Toward a Theory of Property Rights,” </w:t>
      </w:r>
      <w:r>
        <w:rPr>
          <w:i/>
          <w:iCs/>
          <w:color w:val="1A1A1A"/>
          <w:sz w:val="22"/>
          <w:szCs w:val="22"/>
        </w:rPr>
        <w:t>American Economic Review</w:t>
      </w:r>
      <w:r>
        <w:rPr>
          <w:color w:val="1A1A1A"/>
          <w:sz w:val="22"/>
          <w:szCs w:val="22"/>
        </w:rPr>
        <w:t xml:space="preserve">, Vol. 57, No. 2, Papers and Proceedings of the Seventy-ninth Annual Meeting of the American Economic Association (May, 1967), pp. 347-359. </w:t>
      </w:r>
    </w:p>
    <w:p w:rsidR="0057481A" w:rsidRDefault="0057481A"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Sanford J. Grossman and Oliver D. Hart, “The Costs and Benefits of Ownership: A Theory of Vertical and Lateral Integration,” </w:t>
      </w:r>
      <w:r>
        <w:rPr>
          <w:i/>
          <w:iCs/>
          <w:color w:val="1A1A1A"/>
          <w:sz w:val="22"/>
          <w:szCs w:val="22"/>
        </w:rPr>
        <w:t>Journal of Political Economy</w:t>
      </w:r>
      <w:r>
        <w:rPr>
          <w:color w:val="1A1A1A"/>
          <w:sz w:val="22"/>
          <w:szCs w:val="22"/>
        </w:rPr>
        <w:t xml:space="preserve">, Vol. 94, No. 4 (Aug. 1986), pp. 691-719.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Oliver Hart and John Moore, “Property Rights and the Nature of the Firm,” </w:t>
      </w:r>
      <w:r>
        <w:rPr>
          <w:i/>
          <w:iCs/>
          <w:color w:val="1A1A1A"/>
          <w:sz w:val="22"/>
          <w:szCs w:val="22"/>
        </w:rPr>
        <w:t>Journal of Political Economy</w:t>
      </w:r>
      <w:r>
        <w:rPr>
          <w:color w:val="1A1A1A"/>
          <w:sz w:val="22"/>
          <w:szCs w:val="22"/>
        </w:rPr>
        <w:t xml:space="preserve">, Vol. 98, No. 6 (Dec. 1990), pp. 1119-1158.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Christopher Woodruff, “Non-Contractible Investments and Vertical Integration in the Mexican Footwear Industry,” </w:t>
      </w:r>
      <w:r>
        <w:rPr>
          <w:i/>
          <w:iCs/>
          <w:color w:val="1A1A1A"/>
          <w:sz w:val="22"/>
          <w:szCs w:val="22"/>
        </w:rPr>
        <w:t>International Journal of Industrial Organization</w:t>
      </w:r>
      <w:r>
        <w:rPr>
          <w:color w:val="1A1A1A"/>
          <w:sz w:val="22"/>
          <w:szCs w:val="22"/>
        </w:rPr>
        <w:t xml:space="preserve">, Vol. 20, No. 8 (Oct. 2002), pp. 1197-1224.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lastRenderedPageBreak/>
        <w:t xml:space="preserve">George P. Baker and Thomas N. Hubbard, “Contractibility and Asset Ownership: On-board Computers and Governance in U.S. Trucking,” </w:t>
      </w:r>
      <w:r>
        <w:rPr>
          <w:i/>
          <w:iCs/>
          <w:color w:val="1A1A1A"/>
          <w:sz w:val="22"/>
          <w:szCs w:val="22"/>
        </w:rPr>
        <w:t>Quarterly Journal of Economics</w:t>
      </w:r>
      <w:r>
        <w:rPr>
          <w:color w:val="1A1A1A"/>
          <w:sz w:val="22"/>
          <w:szCs w:val="22"/>
        </w:rPr>
        <w:t xml:space="preserve">, Vol. 119, No. 4 (Nov. 2004), pp. 1443-1479.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Robert C. </w:t>
      </w:r>
      <w:proofErr w:type="spellStart"/>
      <w:r>
        <w:rPr>
          <w:color w:val="1A1A1A"/>
          <w:sz w:val="22"/>
          <w:szCs w:val="22"/>
        </w:rPr>
        <w:t>Feenstra</w:t>
      </w:r>
      <w:proofErr w:type="spellEnd"/>
      <w:r>
        <w:rPr>
          <w:color w:val="1A1A1A"/>
          <w:sz w:val="22"/>
          <w:szCs w:val="22"/>
        </w:rPr>
        <w:t xml:space="preserve"> and Gordon H. Hanson, “Ownership and Control in Outsourcing to China: Estimating the Property-Rights Theory of the Firm,” </w:t>
      </w:r>
      <w:r>
        <w:rPr>
          <w:i/>
          <w:iCs/>
          <w:color w:val="1A1A1A"/>
          <w:sz w:val="22"/>
          <w:szCs w:val="22"/>
        </w:rPr>
        <w:t>Quarterly Journal of Economics</w:t>
      </w:r>
      <w:r>
        <w:rPr>
          <w:color w:val="1A1A1A"/>
          <w:sz w:val="22"/>
          <w:szCs w:val="22"/>
        </w:rPr>
        <w:t xml:space="preserve">, Vol. 120, No. 2 (month 2005), pp. 729-761.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C. </w:t>
      </w:r>
      <w:proofErr w:type="spellStart"/>
      <w:r>
        <w:rPr>
          <w:color w:val="1A1A1A"/>
          <w:sz w:val="22"/>
          <w:szCs w:val="22"/>
        </w:rPr>
        <w:t>Kirabo</w:t>
      </w:r>
      <w:proofErr w:type="spellEnd"/>
      <w:r>
        <w:rPr>
          <w:color w:val="1A1A1A"/>
          <w:sz w:val="22"/>
          <w:szCs w:val="22"/>
        </w:rPr>
        <w:t xml:space="preserve"> Jackson and Henry S. Schneider, “Do Social Connections Reduce Moral Hazard? Evidence from the New York City Taxi Industry,” </w:t>
      </w:r>
      <w:r>
        <w:rPr>
          <w:i/>
          <w:iCs/>
          <w:color w:val="1A1A1A"/>
          <w:sz w:val="22"/>
          <w:szCs w:val="22"/>
        </w:rPr>
        <w:t>American Economic Journal: Applied Economics</w:t>
      </w:r>
      <w:r>
        <w:rPr>
          <w:color w:val="1A1A1A"/>
          <w:sz w:val="22"/>
          <w:szCs w:val="22"/>
        </w:rPr>
        <w:t xml:space="preserve">, Vol. 3, No. 3 (July 2011), pp. 244-267.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Ricardo Alonzo, </w:t>
      </w:r>
      <w:proofErr w:type="spellStart"/>
      <w:r>
        <w:rPr>
          <w:color w:val="1A1A1A"/>
          <w:sz w:val="22"/>
          <w:szCs w:val="22"/>
        </w:rPr>
        <w:t>Wouter</w:t>
      </w:r>
      <w:proofErr w:type="spellEnd"/>
      <w:r>
        <w:rPr>
          <w:color w:val="1A1A1A"/>
          <w:sz w:val="22"/>
          <w:szCs w:val="22"/>
        </w:rPr>
        <w:t xml:space="preserve"> </w:t>
      </w:r>
      <w:proofErr w:type="spellStart"/>
      <w:r>
        <w:rPr>
          <w:color w:val="1A1A1A"/>
          <w:sz w:val="22"/>
          <w:szCs w:val="22"/>
        </w:rPr>
        <w:t>Dessein</w:t>
      </w:r>
      <w:proofErr w:type="spellEnd"/>
      <w:r>
        <w:rPr>
          <w:color w:val="1A1A1A"/>
          <w:sz w:val="22"/>
          <w:szCs w:val="22"/>
        </w:rPr>
        <w:t xml:space="preserve"> and Nikko </w:t>
      </w:r>
      <w:proofErr w:type="spellStart"/>
      <w:r>
        <w:rPr>
          <w:color w:val="1A1A1A"/>
          <w:sz w:val="22"/>
          <w:szCs w:val="22"/>
        </w:rPr>
        <w:t>Matouschek</w:t>
      </w:r>
      <w:proofErr w:type="spellEnd"/>
      <w:r>
        <w:rPr>
          <w:color w:val="1A1A1A"/>
          <w:sz w:val="22"/>
          <w:szCs w:val="22"/>
        </w:rPr>
        <w:t xml:space="preserve">, “Organizing to Adapt and Compete,” </w:t>
      </w:r>
      <w:r>
        <w:rPr>
          <w:i/>
          <w:iCs/>
          <w:color w:val="1A1A1A"/>
          <w:sz w:val="22"/>
          <w:szCs w:val="22"/>
        </w:rPr>
        <w:t>American Economic Journal: Microeconomics</w:t>
      </w:r>
      <w:r>
        <w:rPr>
          <w:color w:val="1A1A1A"/>
          <w:sz w:val="22"/>
          <w:szCs w:val="22"/>
        </w:rPr>
        <w:t xml:space="preserve">, Vol. 7, No. 2 (2015), pp. 158-188. </w:t>
      </w:r>
    </w:p>
    <w:p w:rsidR="009A2562" w:rsidRDefault="009A2562" w:rsidP="009A2562">
      <w:pPr>
        <w:pStyle w:val="Default"/>
        <w:rPr>
          <w:b/>
          <w:bCs/>
          <w:sz w:val="22"/>
          <w:szCs w:val="22"/>
        </w:rPr>
      </w:pPr>
    </w:p>
    <w:p w:rsidR="009A2562" w:rsidRDefault="0057481A" w:rsidP="009A2562">
      <w:pPr>
        <w:pStyle w:val="Default"/>
        <w:rPr>
          <w:sz w:val="22"/>
          <w:szCs w:val="22"/>
        </w:rPr>
      </w:pPr>
      <w:r>
        <w:rPr>
          <w:b/>
          <w:bCs/>
          <w:sz w:val="22"/>
          <w:szCs w:val="22"/>
        </w:rPr>
        <w:t>Week 5</w:t>
      </w:r>
      <w:r w:rsidR="009A2562">
        <w:rPr>
          <w:b/>
          <w:bCs/>
          <w:sz w:val="22"/>
          <w:szCs w:val="22"/>
        </w:rPr>
        <w:t xml:space="preserve"> </w:t>
      </w:r>
      <w:r w:rsidR="009A2562">
        <w:rPr>
          <w:b/>
          <w:bCs/>
          <w:i/>
          <w:iCs/>
          <w:color w:val="006EC0"/>
          <w:sz w:val="22"/>
          <w:szCs w:val="22"/>
        </w:rPr>
        <w:t xml:space="preserve">Contract Theory </w:t>
      </w:r>
      <w:r w:rsidR="009A2562">
        <w:rPr>
          <w:b/>
          <w:bCs/>
          <w:sz w:val="22"/>
          <w:szCs w:val="22"/>
        </w:rPr>
        <w:t xml:space="preserve">(HW#4 due)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Georg </w:t>
      </w:r>
      <w:proofErr w:type="spellStart"/>
      <w:r>
        <w:rPr>
          <w:sz w:val="22"/>
          <w:szCs w:val="22"/>
        </w:rPr>
        <w:t>Noldeke</w:t>
      </w:r>
      <w:proofErr w:type="spellEnd"/>
      <w:r>
        <w:rPr>
          <w:sz w:val="22"/>
          <w:szCs w:val="22"/>
        </w:rPr>
        <w:t xml:space="preserve"> and Klaus M. Schmidt, “Option Contracts and Renegotiation: A Solution to the Hold-up Problem,” </w:t>
      </w:r>
      <w:r>
        <w:rPr>
          <w:i/>
          <w:iCs/>
          <w:sz w:val="22"/>
          <w:szCs w:val="22"/>
        </w:rPr>
        <w:t>RAND Journal of Economics</w:t>
      </w:r>
      <w:r>
        <w:rPr>
          <w:sz w:val="22"/>
          <w:szCs w:val="22"/>
        </w:rPr>
        <w:t xml:space="preserve">, Vol. 26, No. 2 (Summer 1995), pp. 163-179. </w:t>
      </w:r>
    </w:p>
    <w:p w:rsidR="009A2562" w:rsidRDefault="009A2562" w:rsidP="009A2562">
      <w:pPr>
        <w:pStyle w:val="Default"/>
        <w:rPr>
          <w:sz w:val="22"/>
          <w:szCs w:val="22"/>
        </w:rPr>
      </w:pPr>
    </w:p>
    <w:p w:rsidR="009A2562" w:rsidRDefault="009A2562" w:rsidP="009A2562">
      <w:pPr>
        <w:pStyle w:val="Default"/>
        <w:rPr>
          <w:color w:val="0000FF"/>
          <w:sz w:val="22"/>
          <w:szCs w:val="22"/>
        </w:rPr>
      </w:pPr>
      <w:r>
        <w:rPr>
          <w:sz w:val="22"/>
          <w:szCs w:val="22"/>
        </w:rPr>
        <w:t xml:space="preserve">Patrick W. Schmitz, “The Hold-up Problem and Incomplete Contracts: A Survey of Recent Topics in Contract Theory,” </w:t>
      </w:r>
      <w:r>
        <w:rPr>
          <w:i/>
          <w:iCs/>
          <w:sz w:val="22"/>
          <w:szCs w:val="22"/>
        </w:rPr>
        <w:t>MPRA Paper No. 12562</w:t>
      </w:r>
      <w:r>
        <w:rPr>
          <w:sz w:val="22"/>
          <w:szCs w:val="22"/>
        </w:rPr>
        <w:t xml:space="preserve">, posted January 2009, available at: </w:t>
      </w:r>
      <w:r>
        <w:rPr>
          <w:color w:val="0000FF"/>
          <w:sz w:val="22"/>
          <w:szCs w:val="22"/>
        </w:rPr>
        <w:t xml:space="preserve">mpra.ub.uni-muenchen.de/12562/2/MPRA_paper_12562.pdf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F. Andrew Hanssen, “Revenue Sharing in Movie Exhibition and the Arrival of Sound,” </w:t>
      </w:r>
      <w:r>
        <w:rPr>
          <w:i/>
          <w:iCs/>
          <w:color w:val="1A1A1A"/>
          <w:sz w:val="22"/>
          <w:szCs w:val="22"/>
        </w:rPr>
        <w:t>Economic Inquiry</w:t>
      </w:r>
      <w:r>
        <w:rPr>
          <w:color w:val="1A1A1A"/>
          <w:sz w:val="22"/>
          <w:szCs w:val="22"/>
        </w:rPr>
        <w:t xml:space="preserve">, Vol. 40, No. 3 (July 2002), pp. 380-402.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Josh Lerner and Jean </w:t>
      </w:r>
      <w:proofErr w:type="spellStart"/>
      <w:r>
        <w:rPr>
          <w:color w:val="1A1A1A"/>
          <w:sz w:val="22"/>
          <w:szCs w:val="22"/>
        </w:rPr>
        <w:t>Tirole</w:t>
      </w:r>
      <w:proofErr w:type="spellEnd"/>
      <w:r>
        <w:rPr>
          <w:color w:val="1A1A1A"/>
          <w:sz w:val="22"/>
          <w:szCs w:val="22"/>
        </w:rPr>
        <w:t xml:space="preserve">, “Standard-Essential Patents,” </w:t>
      </w:r>
      <w:r>
        <w:rPr>
          <w:i/>
          <w:iCs/>
          <w:color w:val="1A1A1A"/>
          <w:sz w:val="22"/>
          <w:szCs w:val="22"/>
        </w:rPr>
        <w:t>Journal of Political Economy</w:t>
      </w:r>
      <w:r>
        <w:rPr>
          <w:color w:val="1A1A1A"/>
          <w:sz w:val="22"/>
          <w:szCs w:val="22"/>
        </w:rPr>
        <w:t xml:space="preserve">, Vol. 123, No. 3 (June 2015), pp. 547-586. </w:t>
      </w:r>
    </w:p>
    <w:p w:rsidR="009A2562" w:rsidRDefault="009A2562" w:rsidP="009A2562">
      <w:pPr>
        <w:pStyle w:val="Default"/>
        <w:rPr>
          <w:sz w:val="22"/>
          <w:szCs w:val="22"/>
        </w:rPr>
      </w:pPr>
    </w:p>
    <w:p w:rsidR="009A2562" w:rsidRDefault="009A2562" w:rsidP="009A2562">
      <w:pPr>
        <w:pStyle w:val="Default"/>
        <w:rPr>
          <w:sz w:val="22"/>
          <w:szCs w:val="22"/>
        </w:rPr>
      </w:pPr>
      <w:r>
        <w:rPr>
          <w:sz w:val="22"/>
          <w:szCs w:val="22"/>
        </w:rPr>
        <w:t xml:space="preserve">Nobel Prize Committee, “Oliver Hart and Bengt Holmstrom: Contract Theory,” </w:t>
      </w:r>
      <w:r>
        <w:rPr>
          <w:i/>
          <w:iCs/>
          <w:sz w:val="22"/>
          <w:szCs w:val="22"/>
        </w:rPr>
        <w:t xml:space="preserve">Scientific Background </w:t>
      </w:r>
      <w:r>
        <w:rPr>
          <w:sz w:val="22"/>
          <w:szCs w:val="22"/>
        </w:rPr>
        <w:t xml:space="preserve">on the 2016 Nobel Prize in Economics (October 10, 2016), available at: </w:t>
      </w:r>
    </w:p>
    <w:p w:rsidR="009A2562" w:rsidRDefault="009A2562" w:rsidP="009A2562">
      <w:pPr>
        <w:pStyle w:val="Default"/>
        <w:rPr>
          <w:sz w:val="22"/>
          <w:szCs w:val="22"/>
        </w:rPr>
      </w:pPr>
      <w:r>
        <w:rPr>
          <w:color w:val="0000FF"/>
          <w:sz w:val="22"/>
          <w:szCs w:val="22"/>
        </w:rPr>
        <w:t>www.nobelprize.org/nobel_prizes/economic-sciences/laureates/2016/advanced-economicsciences2016.pdf</w:t>
      </w:r>
      <w:r>
        <w:rPr>
          <w:sz w:val="22"/>
          <w:szCs w:val="22"/>
        </w:rPr>
        <w:t xml:space="preserve">. </w:t>
      </w:r>
    </w:p>
    <w:p w:rsidR="009A2562" w:rsidRDefault="009A2562" w:rsidP="009A2562">
      <w:pPr>
        <w:pStyle w:val="Default"/>
        <w:rPr>
          <w:b/>
          <w:bCs/>
          <w:sz w:val="22"/>
          <w:szCs w:val="22"/>
        </w:rPr>
      </w:pPr>
    </w:p>
    <w:p w:rsidR="009A2562" w:rsidRDefault="0057481A" w:rsidP="009A2562">
      <w:pPr>
        <w:pStyle w:val="Default"/>
        <w:rPr>
          <w:sz w:val="22"/>
          <w:szCs w:val="22"/>
        </w:rPr>
      </w:pPr>
      <w:r>
        <w:rPr>
          <w:b/>
          <w:bCs/>
          <w:sz w:val="22"/>
          <w:szCs w:val="22"/>
        </w:rPr>
        <w:t xml:space="preserve">Week 6 </w:t>
      </w:r>
      <w:r w:rsidR="009A2562">
        <w:rPr>
          <w:b/>
          <w:bCs/>
          <w:sz w:val="22"/>
          <w:szCs w:val="22"/>
        </w:rPr>
        <w:t xml:space="preserve"> </w:t>
      </w:r>
      <w:r w:rsidR="009A2562">
        <w:rPr>
          <w:b/>
          <w:bCs/>
          <w:color w:val="006EC0"/>
          <w:sz w:val="22"/>
          <w:szCs w:val="22"/>
        </w:rPr>
        <w:t xml:space="preserve">Bargaining &amp; Auctions </w:t>
      </w:r>
      <w:r w:rsidR="009A2562">
        <w:rPr>
          <w:b/>
          <w:bCs/>
          <w:sz w:val="22"/>
          <w:szCs w:val="22"/>
        </w:rPr>
        <w:t xml:space="preserve">(HW#5 due) </w:t>
      </w:r>
    </w:p>
    <w:p w:rsidR="009A2562" w:rsidRDefault="009A2562" w:rsidP="009A2562">
      <w:pPr>
        <w:pStyle w:val="Default"/>
        <w:rPr>
          <w:color w:val="1A1A1A"/>
          <w:sz w:val="22"/>
          <w:szCs w:val="22"/>
        </w:rPr>
      </w:pPr>
      <w:r>
        <w:rPr>
          <w:color w:val="1A1A1A"/>
          <w:sz w:val="22"/>
          <w:szCs w:val="22"/>
        </w:rPr>
        <w:t xml:space="preserve">Thomas C. Schelling, “An Essay on Bargaining,” </w:t>
      </w:r>
      <w:r>
        <w:rPr>
          <w:i/>
          <w:iCs/>
          <w:color w:val="1A1A1A"/>
          <w:sz w:val="22"/>
          <w:szCs w:val="22"/>
        </w:rPr>
        <w:t>American Economic Review</w:t>
      </w:r>
      <w:r>
        <w:rPr>
          <w:color w:val="1A1A1A"/>
          <w:sz w:val="22"/>
          <w:szCs w:val="22"/>
        </w:rPr>
        <w:t xml:space="preserve">, Vol. 46, No. 3 (June 1956), pp. 281-306. </w:t>
      </w:r>
    </w:p>
    <w:p w:rsidR="009A2562" w:rsidRDefault="009A2562" w:rsidP="009A2562">
      <w:pPr>
        <w:pStyle w:val="Default"/>
        <w:rPr>
          <w:color w:val="1A1A1A"/>
          <w:sz w:val="22"/>
          <w:szCs w:val="22"/>
        </w:rPr>
      </w:pPr>
      <w:r>
        <w:rPr>
          <w:color w:val="1A1A1A"/>
          <w:sz w:val="22"/>
          <w:szCs w:val="22"/>
        </w:rPr>
        <w:t xml:space="preserve">Ariel Rubinstein, “Perfect Equilibrium in a Bargaining Model,” </w:t>
      </w:r>
      <w:proofErr w:type="spellStart"/>
      <w:r>
        <w:rPr>
          <w:i/>
          <w:iCs/>
          <w:color w:val="1A1A1A"/>
          <w:sz w:val="22"/>
          <w:szCs w:val="22"/>
        </w:rPr>
        <w:t>Econometrica</w:t>
      </w:r>
      <w:proofErr w:type="spellEnd"/>
      <w:r>
        <w:rPr>
          <w:color w:val="1A1A1A"/>
          <w:sz w:val="22"/>
          <w:szCs w:val="22"/>
        </w:rPr>
        <w:t xml:space="preserve">, Vol. 50, No. 1 (Jan. 1982), pp. 97-109. </w:t>
      </w:r>
    </w:p>
    <w:p w:rsidR="00F76CB6" w:rsidRDefault="00F76CB6"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Ken </w:t>
      </w:r>
      <w:proofErr w:type="spellStart"/>
      <w:r>
        <w:rPr>
          <w:color w:val="1A1A1A"/>
          <w:sz w:val="22"/>
          <w:szCs w:val="22"/>
        </w:rPr>
        <w:t>Binmore</w:t>
      </w:r>
      <w:proofErr w:type="spellEnd"/>
      <w:r>
        <w:rPr>
          <w:color w:val="1A1A1A"/>
          <w:sz w:val="22"/>
          <w:szCs w:val="22"/>
        </w:rPr>
        <w:t xml:space="preserve">, Ariel Rubinstein and Asher </w:t>
      </w:r>
      <w:proofErr w:type="spellStart"/>
      <w:r>
        <w:rPr>
          <w:color w:val="1A1A1A"/>
          <w:sz w:val="22"/>
          <w:szCs w:val="22"/>
        </w:rPr>
        <w:t>Wolinsky</w:t>
      </w:r>
      <w:proofErr w:type="spellEnd"/>
      <w:r>
        <w:rPr>
          <w:color w:val="1A1A1A"/>
          <w:sz w:val="22"/>
          <w:szCs w:val="22"/>
        </w:rPr>
        <w:t xml:space="preserve">, “The Nash Bargaining Solution in Economic Modeling,” </w:t>
      </w:r>
      <w:r>
        <w:rPr>
          <w:i/>
          <w:iCs/>
          <w:color w:val="1A1A1A"/>
          <w:sz w:val="22"/>
          <w:szCs w:val="22"/>
        </w:rPr>
        <w:t>RAND Journal of Economics</w:t>
      </w:r>
      <w:r>
        <w:rPr>
          <w:color w:val="1A1A1A"/>
          <w:sz w:val="22"/>
          <w:szCs w:val="22"/>
        </w:rPr>
        <w:t xml:space="preserve">, Vo. 17, No. 2 (Summer 1986), pp. 176-188.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Paul Klemperer, “Auction Theory: A Guide to the Literature,” </w:t>
      </w:r>
      <w:r>
        <w:rPr>
          <w:i/>
          <w:iCs/>
          <w:color w:val="1A1A1A"/>
          <w:sz w:val="22"/>
          <w:szCs w:val="22"/>
        </w:rPr>
        <w:t>Journal of Economic Surveys</w:t>
      </w:r>
      <w:r>
        <w:rPr>
          <w:color w:val="1A1A1A"/>
          <w:sz w:val="22"/>
          <w:szCs w:val="22"/>
        </w:rPr>
        <w:t xml:space="preserve">, Vol. 13, No. 3 (1999), pp. 227-286.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lastRenderedPageBreak/>
        <w:t xml:space="preserve">Alexander Raskovich, “Pivotal Buyers and Bargaining Position,” </w:t>
      </w:r>
      <w:r>
        <w:rPr>
          <w:i/>
          <w:iCs/>
          <w:color w:val="1A1A1A"/>
          <w:sz w:val="22"/>
          <w:szCs w:val="22"/>
        </w:rPr>
        <w:t>Journal of Industrial Economics</w:t>
      </w:r>
      <w:r>
        <w:rPr>
          <w:color w:val="1A1A1A"/>
          <w:sz w:val="22"/>
          <w:szCs w:val="22"/>
        </w:rPr>
        <w:t xml:space="preserve">, Vol. 51, No. 4 (Dec. 2003), pp. 405-511.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Alexander Raskovich, “Competition or Collusion? Negotiating Discounts Off Posted Prices,” </w:t>
      </w:r>
      <w:r>
        <w:rPr>
          <w:i/>
          <w:iCs/>
          <w:color w:val="1A1A1A"/>
          <w:sz w:val="22"/>
          <w:szCs w:val="22"/>
        </w:rPr>
        <w:t>International Journal of Industrial Organization</w:t>
      </w:r>
      <w:r>
        <w:rPr>
          <w:color w:val="1A1A1A"/>
          <w:sz w:val="22"/>
          <w:szCs w:val="22"/>
        </w:rPr>
        <w:t xml:space="preserve">, Vol. 25, No. 2 (April 2007), pp. 341-354.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Jason Allen, Robert Clark and Jean-Francois </w:t>
      </w:r>
      <w:proofErr w:type="spellStart"/>
      <w:r>
        <w:rPr>
          <w:color w:val="1A1A1A"/>
          <w:sz w:val="22"/>
          <w:szCs w:val="22"/>
        </w:rPr>
        <w:t>Houde</w:t>
      </w:r>
      <w:proofErr w:type="spellEnd"/>
      <w:r>
        <w:rPr>
          <w:color w:val="1A1A1A"/>
          <w:sz w:val="22"/>
          <w:szCs w:val="22"/>
        </w:rPr>
        <w:t xml:space="preserve">, “The Effect of Mergers in Search Markets: Evidence from the Canadian Mortgage Industry,” </w:t>
      </w:r>
      <w:r>
        <w:rPr>
          <w:i/>
          <w:iCs/>
          <w:color w:val="1A1A1A"/>
          <w:sz w:val="22"/>
          <w:szCs w:val="22"/>
        </w:rPr>
        <w:t>American Economic Review</w:t>
      </w:r>
      <w:r>
        <w:rPr>
          <w:color w:val="1A1A1A"/>
          <w:sz w:val="22"/>
          <w:szCs w:val="22"/>
        </w:rPr>
        <w:t xml:space="preserve">, Vol. 104, No. 10 (2013), pp. 3365-3396. </w:t>
      </w:r>
    </w:p>
    <w:p w:rsidR="009A2562" w:rsidRDefault="009A2562" w:rsidP="009A2562">
      <w:pPr>
        <w:pStyle w:val="Default"/>
        <w:rPr>
          <w:color w:val="1A1A1A"/>
          <w:sz w:val="22"/>
          <w:szCs w:val="22"/>
        </w:rPr>
      </w:pPr>
    </w:p>
    <w:p w:rsidR="009A2562" w:rsidRPr="009A2562" w:rsidRDefault="009A2562" w:rsidP="009A2562">
      <w:pPr>
        <w:pStyle w:val="Default"/>
        <w:rPr>
          <w:i/>
          <w:iCs/>
          <w:color w:val="1A1A1A"/>
          <w:sz w:val="22"/>
          <w:szCs w:val="22"/>
        </w:rPr>
      </w:pPr>
      <w:r>
        <w:rPr>
          <w:color w:val="1A1A1A"/>
          <w:sz w:val="22"/>
          <w:szCs w:val="22"/>
        </w:rPr>
        <w:t xml:space="preserve">Nicola </w:t>
      </w:r>
      <w:proofErr w:type="spellStart"/>
      <w:r>
        <w:rPr>
          <w:color w:val="1A1A1A"/>
          <w:sz w:val="22"/>
          <w:szCs w:val="22"/>
        </w:rPr>
        <w:t>Lacetera</w:t>
      </w:r>
      <w:proofErr w:type="spellEnd"/>
      <w:r>
        <w:rPr>
          <w:color w:val="1A1A1A"/>
          <w:sz w:val="22"/>
          <w:szCs w:val="22"/>
        </w:rPr>
        <w:t xml:space="preserve">, Bradley J. Larsen, Devin G. Pope and Justin R. Sydnor, “Bid Takers or Market Makers? The Effect of Auctioneers on Auction Outcome,” </w:t>
      </w:r>
      <w:r>
        <w:rPr>
          <w:i/>
          <w:iCs/>
          <w:color w:val="1A1A1A"/>
          <w:sz w:val="22"/>
          <w:szCs w:val="22"/>
        </w:rPr>
        <w:t>American Economic Journal: Microeconomics</w:t>
      </w:r>
      <w:r>
        <w:rPr>
          <w:color w:val="1A1A1A"/>
          <w:sz w:val="22"/>
          <w:szCs w:val="22"/>
        </w:rPr>
        <w:t xml:space="preserve">, Vol. 8, No. 4 (Nov. 2016), pp. 195-229. </w:t>
      </w:r>
    </w:p>
    <w:p w:rsidR="009A2562" w:rsidRDefault="009A2562" w:rsidP="009A2562">
      <w:pPr>
        <w:pStyle w:val="Default"/>
        <w:rPr>
          <w:b/>
          <w:bCs/>
          <w:sz w:val="22"/>
          <w:szCs w:val="22"/>
        </w:rPr>
      </w:pPr>
    </w:p>
    <w:p w:rsidR="009A2562" w:rsidRDefault="0057481A" w:rsidP="009A2562">
      <w:pPr>
        <w:pStyle w:val="Default"/>
        <w:rPr>
          <w:b/>
          <w:bCs/>
          <w:sz w:val="22"/>
          <w:szCs w:val="22"/>
        </w:rPr>
      </w:pPr>
      <w:r>
        <w:rPr>
          <w:b/>
          <w:bCs/>
          <w:sz w:val="22"/>
          <w:szCs w:val="22"/>
        </w:rPr>
        <w:t>Week 7</w:t>
      </w:r>
    </w:p>
    <w:p w:rsidR="0057481A" w:rsidRDefault="0057481A" w:rsidP="009A2562">
      <w:pPr>
        <w:pStyle w:val="Default"/>
        <w:rPr>
          <w:sz w:val="22"/>
          <w:szCs w:val="22"/>
        </w:rPr>
      </w:pPr>
    </w:p>
    <w:p w:rsidR="009A2562" w:rsidRDefault="009A2562" w:rsidP="009A2562">
      <w:pPr>
        <w:pStyle w:val="Default"/>
        <w:rPr>
          <w:color w:val="1A1A1A"/>
          <w:sz w:val="22"/>
          <w:szCs w:val="22"/>
        </w:rPr>
      </w:pPr>
      <w:r>
        <w:rPr>
          <w:color w:val="1A1A1A"/>
          <w:sz w:val="22"/>
          <w:szCs w:val="22"/>
        </w:rPr>
        <w:t xml:space="preserve">J. Bradford De Long and Kevin Lang, “Are all Economic Hypotheses False?” </w:t>
      </w:r>
      <w:r>
        <w:rPr>
          <w:i/>
          <w:iCs/>
          <w:color w:val="1A1A1A"/>
          <w:sz w:val="22"/>
          <w:szCs w:val="22"/>
        </w:rPr>
        <w:t>Journal of Political Economy</w:t>
      </w:r>
      <w:r>
        <w:rPr>
          <w:color w:val="1A1A1A"/>
          <w:sz w:val="22"/>
          <w:szCs w:val="22"/>
        </w:rPr>
        <w:t xml:space="preserve">, Vol. 100, No. 6 (Dec. 1992), pp. 1257-1272.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Abel Brodeur, Mathias Le, Marc </w:t>
      </w:r>
      <w:proofErr w:type="spellStart"/>
      <w:r>
        <w:rPr>
          <w:color w:val="1A1A1A"/>
          <w:sz w:val="22"/>
          <w:szCs w:val="22"/>
        </w:rPr>
        <w:t>Sangnier</w:t>
      </w:r>
      <w:proofErr w:type="spellEnd"/>
      <w:r>
        <w:rPr>
          <w:color w:val="1A1A1A"/>
          <w:sz w:val="22"/>
          <w:szCs w:val="22"/>
        </w:rPr>
        <w:t xml:space="preserve"> and </w:t>
      </w:r>
      <w:proofErr w:type="spellStart"/>
      <w:r>
        <w:rPr>
          <w:color w:val="1A1A1A"/>
          <w:sz w:val="22"/>
          <w:szCs w:val="22"/>
        </w:rPr>
        <w:t>Yanos</w:t>
      </w:r>
      <w:proofErr w:type="spellEnd"/>
      <w:r>
        <w:rPr>
          <w:color w:val="1A1A1A"/>
          <w:sz w:val="22"/>
          <w:szCs w:val="22"/>
        </w:rPr>
        <w:t xml:space="preserve"> </w:t>
      </w:r>
      <w:proofErr w:type="spellStart"/>
      <w:r>
        <w:rPr>
          <w:color w:val="1A1A1A"/>
          <w:sz w:val="22"/>
          <w:szCs w:val="22"/>
        </w:rPr>
        <w:t>Zylberberg</w:t>
      </w:r>
      <w:proofErr w:type="spellEnd"/>
      <w:r>
        <w:rPr>
          <w:color w:val="1A1A1A"/>
          <w:sz w:val="22"/>
          <w:szCs w:val="22"/>
        </w:rPr>
        <w:t xml:space="preserve">, “Star Wars: The Empirics Strike Back,” </w:t>
      </w:r>
      <w:r>
        <w:rPr>
          <w:i/>
          <w:iCs/>
          <w:color w:val="1A1A1A"/>
          <w:sz w:val="22"/>
          <w:szCs w:val="22"/>
        </w:rPr>
        <w:t>American Economic Journal: Applied Economics</w:t>
      </w:r>
      <w:r>
        <w:rPr>
          <w:color w:val="1A1A1A"/>
          <w:sz w:val="22"/>
          <w:szCs w:val="22"/>
        </w:rPr>
        <w:t xml:space="preserve">, Vol. 8, No. 1 (Jan. 2016), pp. 1-32.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David </w:t>
      </w:r>
      <w:proofErr w:type="spellStart"/>
      <w:r>
        <w:rPr>
          <w:color w:val="1A1A1A"/>
          <w:sz w:val="22"/>
          <w:szCs w:val="22"/>
        </w:rPr>
        <w:t>Colquhon</w:t>
      </w:r>
      <w:proofErr w:type="spellEnd"/>
      <w:r>
        <w:rPr>
          <w:color w:val="1A1A1A"/>
          <w:sz w:val="22"/>
          <w:szCs w:val="22"/>
        </w:rPr>
        <w:t xml:space="preserve">, “The Problem with p-values,” </w:t>
      </w:r>
      <w:r>
        <w:rPr>
          <w:i/>
          <w:iCs/>
          <w:color w:val="1A1A1A"/>
          <w:sz w:val="22"/>
          <w:szCs w:val="22"/>
        </w:rPr>
        <w:t>Aeon Magazine</w:t>
      </w:r>
      <w:r>
        <w:rPr>
          <w:color w:val="1A1A1A"/>
          <w:sz w:val="22"/>
          <w:szCs w:val="22"/>
        </w:rPr>
        <w:t xml:space="preserve">, (2016), available at: </w:t>
      </w:r>
    </w:p>
    <w:p w:rsidR="009A2562" w:rsidRDefault="009A2562" w:rsidP="009A2562">
      <w:pPr>
        <w:pStyle w:val="Default"/>
        <w:rPr>
          <w:color w:val="0000FF"/>
          <w:sz w:val="22"/>
          <w:szCs w:val="22"/>
        </w:rPr>
      </w:pPr>
      <w:r>
        <w:rPr>
          <w:color w:val="0000FF"/>
          <w:sz w:val="22"/>
          <w:szCs w:val="22"/>
        </w:rPr>
        <w:t xml:space="preserve">https://aeon.co/essays/it-s-time-for-science-to-abandon-the-term-statistically-significant </w:t>
      </w:r>
    </w:p>
    <w:p w:rsidR="009A2562" w:rsidRDefault="009A2562" w:rsidP="009A2562">
      <w:pPr>
        <w:pStyle w:val="Default"/>
        <w:rPr>
          <w:b/>
          <w:bCs/>
          <w:sz w:val="22"/>
          <w:szCs w:val="22"/>
        </w:rPr>
      </w:pPr>
    </w:p>
    <w:p w:rsidR="009A2562" w:rsidRPr="0057481A" w:rsidRDefault="0057481A" w:rsidP="009A2562">
      <w:pPr>
        <w:pStyle w:val="Default"/>
        <w:rPr>
          <w:b/>
          <w:bCs/>
          <w:sz w:val="22"/>
          <w:szCs w:val="22"/>
        </w:rPr>
      </w:pPr>
      <w:r>
        <w:rPr>
          <w:b/>
          <w:bCs/>
          <w:sz w:val="22"/>
          <w:szCs w:val="22"/>
        </w:rPr>
        <w:t xml:space="preserve">Week 8 </w:t>
      </w:r>
      <w:r w:rsidR="009A2562">
        <w:rPr>
          <w:b/>
          <w:bCs/>
          <w:color w:val="006EC0"/>
          <w:sz w:val="22"/>
          <w:szCs w:val="22"/>
        </w:rPr>
        <w:t xml:space="preserve">Information, Adverse Selection &amp; Signaling </w:t>
      </w:r>
      <w:r w:rsidR="009A2562">
        <w:rPr>
          <w:b/>
          <w:bCs/>
          <w:sz w:val="22"/>
          <w:szCs w:val="22"/>
        </w:rPr>
        <w:t xml:space="preserve">(HW#6 due) </w:t>
      </w:r>
    </w:p>
    <w:p w:rsidR="009A2562" w:rsidRDefault="009A2562" w:rsidP="009A2562">
      <w:pPr>
        <w:pStyle w:val="Default"/>
        <w:rPr>
          <w:i/>
          <w:iCs/>
          <w:color w:val="1A1A1A"/>
          <w:sz w:val="22"/>
          <w:szCs w:val="22"/>
        </w:rPr>
      </w:pPr>
    </w:p>
    <w:p w:rsidR="009A2562" w:rsidRDefault="009A2562" w:rsidP="009A2562">
      <w:pPr>
        <w:pStyle w:val="Default"/>
        <w:rPr>
          <w:color w:val="1A1A1A"/>
          <w:sz w:val="22"/>
          <w:szCs w:val="22"/>
        </w:rPr>
      </w:pPr>
      <w:proofErr w:type="spellStart"/>
      <w:r>
        <w:rPr>
          <w:i/>
          <w:iCs/>
          <w:color w:val="1A1A1A"/>
          <w:sz w:val="22"/>
          <w:szCs w:val="22"/>
        </w:rPr>
        <w:t>Tirole</w:t>
      </w:r>
      <w:proofErr w:type="spellEnd"/>
      <w:r>
        <w:rPr>
          <w:color w:val="1A1A1A"/>
          <w:sz w:val="22"/>
          <w:szCs w:val="22"/>
        </w:rPr>
        <w:t xml:space="preserve">, “Quality and Information,” Chapter 2.3, pp. 106-114.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George A. </w:t>
      </w:r>
      <w:proofErr w:type="spellStart"/>
      <w:r>
        <w:rPr>
          <w:color w:val="1A1A1A"/>
          <w:sz w:val="22"/>
          <w:szCs w:val="22"/>
        </w:rPr>
        <w:t>Akerlof</w:t>
      </w:r>
      <w:proofErr w:type="spellEnd"/>
      <w:r>
        <w:rPr>
          <w:color w:val="1A1A1A"/>
          <w:sz w:val="22"/>
          <w:szCs w:val="22"/>
        </w:rPr>
        <w:t xml:space="preserve">, “The Market for ‘Lemons’: Quality Uncertainty and the Market Mechanism,” </w:t>
      </w:r>
      <w:r>
        <w:rPr>
          <w:i/>
          <w:iCs/>
          <w:color w:val="1A1A1A"/>
          <w:sz w:val="22"/>
          <w:szCs w:val="22"/>
        </w:rPr>
        <w:t>Quarterly Journal of Economics</w:t>
      </w:r>
      <w:r>
        <w:rPr>
          <w:color w:val="1A1A1A"/>
          <w:sz w:val="22"/>
          <w:szCs w:val="22"/>
        </w:rPr>
        <w:t xml:space="preserve">, Vol. 84, No. 3 (Aug. 1970), pp. 488-500.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Benjamin Klein and Keith B. Leffler, “The Role of Market Forces in Assuring Contractual Performance,” </w:t>
      </w:r>
      <w:r>
        <w:rPr>
          <w:i/>
          <w:iCs/>
          <w:color w:val="1A1A1A"/>
          <w:sz w:val="22"/>
          <w:szCs w:val="22"/>
        </w:rPr>
        <w:t>Journal of Political Economy</w:t>
      </w:r>
      <w:r>
        <w:rPr>
          <w:color w:val="1A1A1A"/>
          <w:sz w:val="22"/>
          <w:szCs w:val="22"/>
        </w:rPr>
        <w:t xml:space="preserve">, Vol. 89, No. 4 (Aug. 1981), pp. 615-641. </w:t>
      </w:r>
    </w:p>
    <w:p w:rsidR="0057481A" w:rsidRDefault="0057481A" w:rsidP="009A2562">
      <w:pPr>
        <w:pStyle w:val="Default"/>
        <w:rPr>
          <w:rFonts w:ascii="Calibri" w:hAnsi="Calibri" w:cs="Calibri"/>
          <w:color w:val="1A1A1A"/>
          <w:sz w:val="23"/>
          <w:szCs w:val="23"/>
        </w:rPr>
      </w:pPr>
    </w:p>
    <w:p w:rsidR="009A2562" w:rsidRDefault="009A2562" w:rsidP="009A2562">
      <w:pPr>
        <w:pStyle w:val="Default"/>
        <w:rPr>
          <w:color w:val="1A1A1A"/>
          <w:sz w:val="22"/>
          <w:szCs w:val="22"/>
        </w:rPr>
      </w:pPr>
      <w:r>
        <w:rPr>
          <w:color w:val="1A1A1A"/>
          <w:sz w:val="22"/>
          <w:szCs w:val="22"/>
        </w:rPr>
        <w:t xml:space="preserve">David M. Cutler and Sarah J. </w:t>
      </w:r>
      <w:proofErr w:type="spellStart"/>
      <w:r>
        <w:rPr>
          <w:color w:val="1A1A1A"/>
          <w:sz w:val="22"/>
          <w:szCs w:val="22"/>
        </w:rPr>
        <w:t>Reber</w:t>
      </w:r>
      <w:proofErr w:type="spellEnd"/>
      <w:r>
        <w:rPr>
          <w:color w:val="1A1A1A"/>
          <w:sz w:val="22"/>
          <w:szCs w:val="22"/>
        </w:rPr>
        <w:t xml:space="preserve">, “Paying for Health Insurance: The Trade-Off between Competition and Adverse Selection,” </w:t>
      </w:r>
      <w:r>
        <w:rPr>
          <w:i/>
          <w:iCs/>
          <w:color w:val="1A1A1A"/>
          <w:sz w:val="22"/>
          <w:szCs w:val="22"/>
        </w:rPr>
        <w:t>Quarterly Journal of Economics</w:t>
      </w:r>
      <w:r>
        <w:rPr>
          <w:color w:val="1A1A1A"/>
          <w:sz w:val="22"/>
          <w:szCs w:val="22"/>
        </w:rPr>
        <w:t xml:space="preserve">, Vol. 113, No. 2 (May 1998), pp. 433-466. </w:t>
      </w:r>
    </w:p>
    <w:p w:rsidR="0057481A" w:rsidRDefault="0057481A"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Michael Spence, “Signaling in Retrospect and the Informational Structure of Markets,” </w:t>
      </w:r>
      <w:r>
        <w:rPr>
          <w:i/>
          <w:iCs/>
          <w:color w:val="1A1A1A"/>
          <w:sz w:val="22"/>
          <w:szCs w:val="22"/>
        </w:rPr>
        <w:t>American Economic Review</w:t>
      </w:r>
      <w:r>
        <w:rPr>
          <w:color w:val="1A1A1A"/>
          <w:sz w:val="22"/>
          <w:szCs w:val="22"/>
        </w:rPr>
        <w:t xml:space="preserve">, Vol. 92, No. 3 (June 2002), pp. 434-459. </w:t>
      </w:r>
    </w:p>
    <w:p w:rsidR="0057481A" w:rsidRDefault="0057481A"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Amy Finkelstein and Kathleen McGarry, “Multiple Dimensions of Private Information: Evidence from the Long-Term Care Insurance Market,” </w:t>
      </w:r>
      <w:r>
        <w:rPr>
          <w:i/>
          <w:iCs/>
          <w:color w:val="1A1A1A"/>
          <w:sz w:val="22"/>
          <w:szCs w:val="22"/>
        </w:rPr>
        <w:t>American Economic Review</w:t>
      </w:r>
      <w:r>
        <w:rPr>
          <w:color w:val="1A1A1A"/>
          <w:sz w:val="22"/>
          <w:szCs w:val="22"/>
        </w:rPr>
        <w:t xml:space="preserve">, Vol. 96, No. 4 (Sep. 2006), pp. 938-958. </w:t>
      </w:r>
    </w:p>
    <w:p w:rsidR="0057481A" w:rsidRDefault="0057481A" w:rsidP="009A2562">
      <w:pPr>
        <w:pStyle w:val="Default"/>
        <w:rPr>
          <w:b/>
          <w:bCs/>
          <w:sz w:val="22"/>
          <w:szCs w:val="22"/>
        </w:rPr>
      </w:pPr>
    </w:p>
    <w:p w:rsidR="009A2562" w:rsidRDefault="0057481A" w:rsidP="009A2562">
      <w:pPr>
        <w:pStyle w:val="Default"/>
        <w:rPr>
          <w:sz w:val="22"/>
          <w:szCs w:val="22"/>
        </w:rPr>
      </w:pPr>
      <w:r>
        <w:rPr>
          <w:b/>
          <w:bCs/>
          <w:sz w:val="22"/>
          <w:szCs w:val="22"/>
        </w:rPr>
        <w:t xml:space="preserve">Week 9 </w:t>
      </w:r>
      <w:r w:rsidR="009A2562">
        <w:rPr>
          <w:b/>
          <w:bCs/>
          <w:sz w:val="22"/>
          <w:szCs w:val="22"/>
        </w:rPr>
        <w:t xml:space="preserve"> </w:t>
      </w:r>
      <w:r w:rsidR="009A2562">
        <w:rPr>
          <w:b/>
          <w:bCs/>
          <w:color w:val="006EC0"/>
          <w:sz w:val="22"/>
          <w:szCs w:val="22"/>
        </w:rPr>
        <w:t xml:space="preserve">Price Discrimination </w:t>
      </w:r>
      <w:r w:rsidR="009A2562">
        <w:rPr>
          <w:b/>
          <w:bCs/>
          <w:sz w:val="22"/>
          <w:szCs w:val="22"/>
        </w:rPr>
        <w:t xml:space="preserve">(HW#7 due) </w:t>
      </w:r>
    </w:p>
    <w:p w:rsidR="0057481A" w:rsidRDefault="0057481A" w:rsidP="009A2562">
      <w:pPr>
        <w:pStyle w:val="Default"/>
        <w:rPr>
          <w:i/>
          <w:iCs/>
          <w:color w:val="1A1A1A"/>
          <w:sz w:val="22"/>
          <w:szCs w:val="22"/>
        </w:rPr>
      </w:pPr>
    </w:p>
    <w:p w:rsidR="009A2562" w:rsidRDefault="009A2562" w:rsidP="009A2562">
      <w:pPr>
        <w:pStyle w:val="Default"/>
        <w:rPr>
          <w:color w:val="1A1A1A"/>
          <w:sz w:val="22"/>
          <w:szCs w:val="22"/>
        </w:rPr>
      </w:pPr>
      <w:proofErr w:type="spellStart"/>
      <w:r>
        <w:rPr>
          <w:i/>
          <w:iCs/>
          <w:color w:val="1A1A1A"/>
          <w:sz w:val="22"/>
          <w:szCs w:val="22"/>
        </w:rPr>
        <w:lastRenderedPageBreak/>
        <w:t>Tirole</w:t>
      </w:r>
      <w:proofErr w:type="spellEnd"/>
      <w:r>
        <w:rPr>
          <w:color w:val="1A1A1A"/>
          <w:sz w:val="22"/>
          <w:szCs w:val="22"/>
        </w:rPr>
        <w:t xml:space="preserve">, “Price Discrimination,” Chapter 3, pp. 133-168. </w:t>
      </w:r>
    </w:p>
    <w:p w:rsidR="0057481A" w:rsidRDefault="0057481A"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K. Sridhar Moorthy, “Market Segmentation, Self-Selection, and Product Line Design,” </w:t>
      </w:r>
      <w:r>
        <w:rPr>
          <w:i/>
          <w:iCs/>
          <w:color w:val="1A1A1A"/>
          <w:sz w:val="22"/>
          <w:szCs w:val="22"/>
        </w:rPr>
        <w:t>Marketing Science</w:t>
      </w:r>
      <w:r>
        <w:rPr>
          <w:color w:val="1A1A1A"/>
          <w:sz w:val="22"/>
          <w:szCs w:val="22"/>
        </w:rPr>
        <w:t xml:space="preserve">, Vol. 3, No. 4 (Autumn 1984), pp. 288-307. </w:t>
      </w:r>
    </w:p>
    <w:p w:rsidR="009A2562" w:rsidRDefault="0057481A" w:rsidP="009A2562">
      <w:pPr>
        <w:pStyle w:val="Default"/>
        <w:rPr>
          <w:sz w:val="22"/>
          <w:szCs w:val="22"/>
        </w:rPr>
      </w:pPr>
      <w:r>
        <w:rPr>
          <w:b/>
          <w:bCs/>
          <w:sz w:val="22"/>
          <w:szCs w:val="22"/>
        </w:rPr>
        <w:br/>
        <w:t xml:space="preserve">Week 10 </w:t>
      </w:r>
      <w:r w:rsidR="009A2562">
        <w:rPr>
          <w:b/>
          <w:bCs/>
          <w:color w:val="006EC0"/>
          <w:sz w:val="22"/>
          <w:szCs w:val="22"/>
        </w:rPr>
        <w:t xml:space="preserve">Market Interactions: Non-Cooperative </w:t>
      </w:r>
      <w:r w:rsidR="009A2562">
        <w:rPr>
          <w:b/>
          <w:bCs/>
          <w:sz w:val="22"/>
          <w:szCs w:val="22"/>
        </w:rPr>
        <w:t xml:space="preserve">(HW#8 due) </w:t>
      </w:r>
    </w:p>
    <w:p w:rsidR="0057481A" w:rsidRDefault="0057481A" w:rsidP="009A2562">
      <w:pPr>
        <w:pStyle w:val="Default"/>
        <w:rPr>
          <w:i/>
          <w:iCs/>
          <w:color w:val="1A1A1A"/>
          <w:sz w:val="22"/>
          <w:szCs w:val="22"/>
        </w:rPr>
      </w:pPr>
    </w:p>
    <w:p w:rsidR="009A2562" w:rsidRDefault="009A2562" w:rsidP="009A2562">
      <w:pPr>
        <w:pStyle w:val="Default"/>
        <w:rPr>
          <w:color w:val="1A1A1A"/>
          <w:sz w:val="22"/>
          <w:szCs w:val="22"/>
        </w:rPr>
      </w:pPr>
      <w:proofErr w:type="spellStart"/>
      <w:r>
        <w:rPr>
          <w:i/>
          <w:iCs/>
          <w:color w:val="1A1A1A"/>
          <w:sz w:val="22"/>
          <w:szCs w:val="22"/>
        </w:rPr>
        <w:t>Tirole</w:t>
      </w:r>
      <w:proofErr w:type="spellEnd"/>
      <w:r>
        <w:rPr>
          <w:color w:val="1A1A1A"/>
          <w:sz w:val="22"/>
          <w:szCs w:val="22"/>
        </w:rPr>
        <w:t xml:space="preserve">, “Monopoly,” Chapter 1. </w:t>
      </w:r>
    </w:p>
    <w:p w:rsidR="0057481A" w:rsidRDefault="0057481A" w:rsidP="009A2562">
      <w:pPr>
        <w:pStyle w:val="Default"/>
        <w:rPr>
          <w:i/>
          <w:iCs/>
          <w:color w:val="1A1A1A"/>
          <w:sz w:val="22"/>
          <w:szCs w:val="22"/>
        </w:rPr>
      </w:pPr>
    </w:p>
    <w:p w:rsidR="009A2562" w:rsidRDefault="009A2562" w:rsidP="009A2562">
      <w:pPr>
        <w:pStyle w:val="Default"/>
        <w:rPr>
          <w:color w:val="1A1A1A"/>
          <w:sz w:val="22"/>
          <w:szCs w:val="22"/>
        </w:rPr>
      </w:pPr>
      <w:proofErr w:type="spellStart"/>
      <w:r>
        <w:rPr>
          <w:i/>
          <w:iCs/>
          <w:color w:val="1A1A1A"/>
          <w:sz w:val="22"/>
          <w:szCs w:val="22"/>
        </w:rPr>
        <w:t>Tirole</w:t>
      </w:r>
      <w:proofErr w:type="spellEnd"/>
      <w:r>
        <w:rPr>
          <w:color w:val="1A1A1A"/>
          <w:sz w:val="22"/>
          <w:szCs w:val="22"/>
        </w:rPr>
        <w:t xml:space="preserve">, “Short-Run Price Competition,” Chapter 5. </w:t>
      </w:r>
    </w:p>
    <w:p w:rsidR="0057481A" w:rsidRDefault="0057481A" w:rsidP="009A2562">
      <w:pPr>
        <w:pStyle w:val="Default"/>
        <w:rPr>
          <w:i/>
          <w:iCs/>
          <w:color w:val="1A1A1A"/>
          <w:sz w:val="22"/>
          <w:szCs w:val="22"/>
        </w:rPr>
      </w:pPr>
    </w:p>
    <w:p w:rsidR="009A2562" w:rsidRDefault="009A2562" w:rsidP="009A2562">
      <w:pPr>
        <w:pStyle w:val="Default"/>
        <w:rPr>
          <w:color w:val="1A1A1A"/>
          <w:sz w:val="22"/>
          <w:szCs w:val="22"/>
        </w:rPr>
      </w:pPr>
      <w:proofErr w:type="spellStart"/>
      <w:r>
        <w:rPr>
          <w:i/>
          <w:iCs/>
          <w:color w:val="1A1A1A"/>
          <w:sz w:val="22"/>
          <w:szCs w:val="22"/>
        </w:rPr>
        <w:t>Tirole</w:t>
      </w:r>
      <w:proofErr w:type="spellEnd"/>
      <w:r>
        <w:rPr>
          <w:color w:val="1A1A1A"/>
          <w:sz w:val="22"/>
          <w:szCs w:val="22"/>
        </w:rPr>
        <w:t xml:space="preserve">, “Product Differentiation…,” Chapter 7 through 7.1, pp. 277-287. </w:t>
      </w:r>
    </w:p>
    <w:p w:rsidR="0057481A" w:rsidRDefault="0057481A" w:rsidP="009A2562">
      <w:pPr>
        <w:pStyle w:val="Default"/>
        <w:rPr>
          <w:b/>
          <w:bCs/>
          <w:sz w:val="22"/>
          <w:szCs w:val="22"/>
        </w:rPr>
      </w:pPr>
    </w:p>
    <w:p w:rsidR="009A2562" w:rsidRDefault="0057481A" w:rsidP="009A2562">
      <w:pPr>
        <w:pStyle w:val="Default"/>
        <w:rPr>
          <w:sz w:val="22"/>
          <w:szCs w:val="22"/>
        </w:rPr>
      </w:pPr>
      <w:r>
        <w:rPr>
          <w:b/>
          <w:bCs/>
          <w:sz w:val="22"/>
          <w:szCs w:val="22"/>
        </w:rPr>
        <w:t>Week 11</w:t>
      </w:r>
      <w:r w:rsidR="009A2562">
        <w:rPr>
          <w:b/>
          <w:bCs/>
          <w:sz w:val="22"/>
          <w:szCs w:val="22"/>
        </w:rPr>
        <w:t xml:space="preserve"> </w:t>
      </w:r>
      <w:r w:rsidR="009A2562">
        <w:rPr>
          <w:b/>
          <w:bCs/>
          <w:color w:val="006EC0"/>
          <w:sz w:val="22"/>
          <w:szCs w:val="22"/>
        </w:rPr>
        <w:t xml:space="preserve">Market Interactions: Collusive </w:t>
      </w:r>
      <w:r w:rsidR="009A2562">
        <w:rPr>
          <w:b/>
          <w:bCs/>
          <w:sz w:val="22"/>
          <w:szCs w:val="22"/>
        </w:rPr>
        <w:t xml:space="preserve">(HW#9 due) </w:t>
      </w:r>
    </w:p>
    <w:p w:rsidR="0057481A" w:rsidRDefault="0057481A" w:rsidP="009A2562">
      <w:pPr>
        <w:pStyle w:val="Default"/>
        <w:rPr>
          <w:i/>
          <w:iCs/>
          <w:color w:val="1A1A1A"/>
          <w:sz w:val="22"/>
          <w:szCs w:val="22"/>
        </w:rPr>
      </w:pPr>
    </w:p>
    <w:p w:rsidR="009A2562" w:rsidRDefault="009A2562" w:rsidP="009A2562">
      <w:pPr>
        <w:pStyle w:val="Default"/>
        <w:rPr>
          <w:color w:val="1A1A1A"/>
          <w:sz w:val="22"/>
          <w:szCs w:val="22"/>
        </w:rPr>
      </w:pPr>
      <w:proofErr w:type="spellStart"/>
      <w:r>
        <w:rPr>
          <w:i/>
          <w:iCs/>
          <w:color w:val="1A1A1A"/>
          <w:sz w:val="22"/>
          <w:szCs w:val="22"/>
        </w:rPr>
        <w:t>Tirole</w:t>
      </w:r>
      <w:proofErr w:type="spellEnd"/>
      <w:r>
        <w:rPr>
          <w:color w:val="1A1A1A"/>
          <w:sz w:val="22"/>
          <w:szCs w:val="22"/>
        </w:rPr>
        <w:t xml:space="preserve">, “Dynamic Price Competition and Tacit Collusion,” Chapter 6. </w:t>
      </w:r>
    </w:p>
    <w:p w:rsidR="0057481A" w:rsidRDefault="0057481A"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George J. Stigler, “A Theory of Oligopoly,” </w:t>
      </w:r>
      <w:r>
        <w:rPr>
          <w:i/>
          <w:iCs/>
          <w:color w:val="1A1A1A"/>
          <w:sz w:val="22"/>
          <w:szCs w:val="22"/>
        </w:rPr>
        <w:t>Journal of Political Economy</w:t>
      </w:r>
      <w:r>
        <w:rPr>
          <w:color w:val="1A1A1A"/>
          <w:sz w:val="22"/>
          <w:szCs w:val="22"/>
        </w:rPr>
        <w:t xml:space="preserve">, Vol. 72, No. 1 (Feb. 1964), pp. 44-61. </w:t>
      </w:r>
    </w:p>
    <w:p w:rsidR="0057481A" w:rsidRDefault="0057481A" w:rsidP="009A2562">
      <w:pPr>
        <w:pStyle w:val="Default"/>
        <w:rPr>
          <w:b/>
          <w:bCs/>
          <w:sz w:val="22"/>
          <w:szCs w:val="22"/>
        </w:rPr>
      </w:pPr>
    </w:p>
    <w:p w:rsidR="009A2562" w:rsidRDefault="0057481A" w:rsidP="009A2562">
      <w:pPr>
        <w:pStyle w:val="Default"/>
        <w:rPr>
          <w:b/>
          <w:bCs/>
          <w:sz w:val="22"/>
          <w:szCs w:val="22"/>
        </w:rPr>
      </w:pPr>
      <w:r>
        <w:rPr>
          <w:b/>
          <w:bCs/>
          <w:sz w:val="22"/>
          <w:szCs w:val="22"/>
        </w:rPr>
        <w:t>Week 12</w:t>
      </w:r>
      <w:r w:rsidR="009A2562">
        <w:rPr>
          <w:b/>
          <w:bCs/>
          <w:sz w:val="22"/>
          <w:szCs w:val="22"/>
        </w:rPr>
        <w:t xml:space="preserve"> </w:t>
      </w:r>
      <w:r w:rsidR="009A2562">
        <w:rPr>
          <w:b/>
          <w:bCs/>
          <w:color w:val="006EC0"/>
          <w:sz w:val="22"/>
          <w:szCs w:val="22"/>
        </w:rPr>
        <w:t xml:space="preserve">Competition Policy: Mergers </w:t>
      </w:r>
      <w:r w:rsidR="009A2562">
        <w:rPr>
          <w:b/>
          <w:bCs/>
          <w:sz w:val="22"/>
          <w:szCs w:val="22"/>
        </w:rPr>
        <w:t xml:space="preserve">(HW#10 due) </w:t>
      </w:r>
    </w:p>
    <w:p w:rsidR="00F16DFA" w:rsidRDefault="00F16DFA" w:rsidP="009A2562">
      <w:pPr>
        <w:pStyle w:val="Default"/>
        <w:rPr>
          <w:b/>
          <w:bCs/>
          <w:sz w:val="22"/>
          <w:szCs w:val="22"/>
        </w:rPr>
      </w:pPr>
    </w:p>
    <w:p w:rsidR="00F16DFA" w:rsidRPr="00F16DFA" w:rsidRDefault="00F16DFA" w:rsidP="009A2562">
      <w:pPr>
        <w:pStyle w:val="Default"/>
        <w:rPr>
          <w:color w:val="1A1A1A"/>
          <w:sz w:val="22"/>
          <w:szCs w:val="22"/>
        </w:rPr>
      </w:pPr>
      <w:r>
        <w:rPr>
          <w:color w:val="1A1A1A"/>
          <w:sz w:val="22"/>
          <w:szCs w:val="22"/>
        </w:rPr>
        <w:t xml:space="preserve">Khan, Lisa “Amazon’s Antitrust Paradox,” The </w:t>
      </w:r>
      <w:r>
        <w:rPr>
          <w:i/>
          <w:color w:val="1A1A1A"/>
          <w:sz w:val="22"/>
          <w:szCs w:val="22"/>
        </w:rPr>
        <w:t>Yale Law Journal</w:t>
      </w:r>
      <w:r>
        <w:rPr>
          <w:color w:val="1A1A1A"/>
          <w:sz w:val="22"/>
          <w:szCs w:val="22"/>
        </w:rPr>
        <w:t xml:space="preserve">, Vol. 126 Issue 3 (January 2017) </w:t>
      </w:r>
      <w:r w:rsidRPr="00F16DFA">
        <w:rPr>
          <w:color w:val="1A1A1A"/>
          <w:sz w:val="22"/>
          <w:szCs w:val="22"/>
        </w:rPr>
        <w:t>https://www.yalelawjournal.org/note/amazons-antitrust-paradox</w:t>
      </w:r>
    </w:p>
    <w:p w:rsidR="00F16DFA" w:rsidRDefault="00F16DFA" w:rsidP="009A2562">
      <w:pPr>
        <w:pStyle w:val="Default"/>
        <w:rPr>
          <w:color w:val="1A1A1A"/>
          <w:sz w:val="22"/>
          <w:szCs w:val="22"/>
        </w:rPr>
      </w:pPr>
    </w:p>
    <w:p w:rsidR="009A2562" w:rsidRPr="0057481A" w:rsidRDefault="009A2562" w:rsidP="009A2562">
      <w:pPr>
        <w:pStyle w:val="Default"/>
        <w:rPr>
          <w:i/>
          <w:iCs/>
          <w:color w:val="1A1A1A"/>
          <w:sz w:val="22"/>
          <w:szCs w:val="22"/>
        </w:rPr>
      </w:pPr>
      <w:r>
        <w:rPr>
          <w:color w:val="1A1A1A"/>
          <w:sz w:val="22"/>
          <w:szCs w:val="22"/>
        </w:rPr>
        <w:t xml:space="preserve">Oliver E. Williamson, “Economies as an Antitrust Defense: The Welfare Tradeoffs,” </w:t>
      </w:r>
      <w:r>
        <w:rPr>
          <w:i/>
          <w:iCs/>
          <w:color w:val="1A1A1A"/>
          <w:sz w:val="22"/>
          <w:szCs w:val="22"/>
        </w:rPr>
        <w:t>American Economic Review</w:t>
      </w:r>
      <w:r>
        <w:rPr>
          <w:color w:val="1A1A1A"/>
          <w:sz w:val="22"/>
          <w:szCs w:val="22"/>
        </w:rPr>
        <w:t xml:space="preserve">, Vol. 58, No. 1 (March 1968), pp. 18-36. </w:t>
      </w:r>
    </w:p>
    <w:p w:rsidR="0057481A" w:rsidRDefault="0057481A"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Lawrence J. White, “Antitrust and Merger Policy: A Review and Critique,” </w:t>
      </w:r>
      <w:r>
        <w:rPr>
          <w:i/>
          <w:iCs/>
          <w:color w:val="1A1A1A"/>
          <w:sz w:val="22"/>
          <w:szCs w:val="22"/>
        </w:rPr>
        <w:t>Journal of Economic Perspectives</w:t>
      </w:r>
      <w:r>
        <w:rPr>
          <w:color w:val="1A1A1A"/>
          <w:sz w:val="22"/>
          <w:szCs w:val="22"/>
        </w:rPr>
        <w:t xml:space="preserve">, Vol. 1, No. 2 (Autumn 1987), pp. 13-22. </w:t>
      </w:r>
    </w:p>
    <w:p w:rsidR="0057481A" w:rsidRDefault="0057481A" w:rsidP="009A2562">
      <w:pPr>
        <w:pStyle w:val="Default"/>
        <w:rPr>
          <w:color w:val="1A1A1A"/>
          <w:sz w:val="22"/>
          <w:szCs w:val="22"/>
        </w:rPr>
      </w:pPr>
    </w:p>
    <w:p w:rsidR="009A2562" w:rsidRDefault="009A2562" w:rsidP="009A2562">
      <w:pPr>
        <w:pStyle w:val="Default"/>
        <w:rPr>
          <w:color w:val="1A1A1A"/>
          <w:sz w:val="22"/>
          <w:szCs w:val="22"/>
        </w:rPr>
      </w:pPr>
      <w:proofErr w:type="spellStart"/>
      <w:r>
        <w:rPr>
          <w:color w:val="1A1A1A"/>
          <w:sz w:val="22"/>
          <w:szCs w:val="22"/>
        </w:rPr>
        <w:t>Orley</w:t>
      </w:r>
      <w:proofErr w:type="spellEnd"/>
      <w:r>
        <w:rPr>
          <w:color w:val="1A1A1A"/>
          <w:sz w:val="22"/>
          <w:szCs w:val="22"/>
        </w:rPr>
        <w:t xml:space="preserve"> </w:t>
      </w:r>
      <w:proofErr w:type="spellStart"/>
      <w:r>
        <w:rPr>
          <w:color w:val="1A1A1A"/>
          <w:sz w:val="22"/>
          <w:szCs w:val="22"/>
        </w:rPr>
        <w:t>Ashenfelter</w:t>
      </w:r>
      <w:proofErr w:type="spellEnd"/>
      <w:r>
        <w:rPr>
          <w:color w:val="1A1A1A"/>
          <w:sz w:val="22"/>
          <w:szCs w:val="22"/>
        </w:rPr>
        <w:t xml:space="preserve">, David Ashmore, Jonathan B. Baker, Suzanne Gleason and Daniel S. </w:t>
      </w:r>
      <w:proofErr w:type="spellStart"/>
      <w:r>
        <w:rPr>
          <w:color w:val="1A1A1A"/>
          <w:sz w:val="22"/>
          <w:szCs w:val="22"/>
        </w:rPr>
        <w:t>Hosken</w:t>
      </w:r>
      <w:proofErr w:type="spellEnd"/>
      <w:r>
        <w:rPr>
          <w:color w:val="1A1A1A"/>
          <w:sz w:val="22"/>
          <w:szCs w:val="22"/>
        </w:rPr>
        <w:t xml:space="preserve">, “Empirical Methods in Merger Analysis: Econometric Analysis of Pricing in </w:t>
      </w:r>
      <w:r>
        <w:rPr>
          <w:i/>
          <w:iCs/>
          <w:color w:val="1A1A1A"/>
          <w:sz w:val="22"/>
          <w:szCs w:val="22"/>
        </w:rPr>
        <w:t>FTC v. Staples</w:t>
      </w:r>
      <w:r>
        <w:rPr>
          <w:color w:val="1A1A1A"/>
          <w:sz w:val="22"/>
          <w:szCs w:val="22"/>
        </w:rPr>
        <w:t xml:space="preserve">,” </w:t>
      </w:r>
      <w:r>
        <w:rPr>
          <w:i/>
          <w:iCs/>
          <w:color w:val="1A1A1A"/>
          <w:sz w:val="22"/>
          <w:szCs w:val="22"/>
        </w:rPr>
        <w:t>International Journal of the Economics of Business</w:t>
      </w:r>
      <w:r>
        <w:rPr>
          <w:color w:val="1A1A1A"/>
          <w:sz w:val="22"/>
          <w:szCs w:val="22"/>
        </w:rPr>
        <w:t xml:space="preserve">, Vol. 13, No. 2 (July 2006), pp. 265-279. </w:t>
      </w:r>
    </w:p>
    <w:p w:rsidR="009A2562" w:rsidRDefault="0057481A" w:rsidP="009A2562">
      <w:pPr>
        <w:pStyle w:val="Default"/>
        <w:rPr>
          <w:sz w:val="22"/>
          <w:szCs w:val="22"/>
        </w:rPr>
      </w:pPr>
      <w:r>
        <w:rPr>
          <w:b/>
          <w:bCs/>
          <w:sz w:val="22"/>
          <w:szCs w:val="22"/>
        </w:rPr>
        <w:t>Week 13</w:t>
      </w:r>
      <w:r w:rsidR="009A2562">
        <w:rPr>
          <w:b/>
          <w:bCs/>
          <w:sz w:val="22"/>
          <w:szCs w:val="22"/>
        </w:rPr>
        <w:t xml:space="preserve"> </w:t>
      </w:r>
      <w:r w:rsidR="009A2562">
        <w:rPr>
          <w:b/>
          <w:bCs/>
          <w:color w:val="006EC0"/>
          <w:sz w:val="22"/>
          <w:szCs w:val="22"/>
        </w:rPr>
        <w:t xml:space="preserve">Competition Policy: Single-Firm Conduct </w:t>
      </w:r>
      <w:r w:rsidR="009A2562">
        <w:rPr>
          <w:b/>
          <w:bCs/>
          <w:sz w:val="22"/>
          <w:szCs w:val="22"/>
        </w:rPr>
        <w:t xml:space="preserve">(HW#11 due) </w:t>
      </w:r>
    </w:p>
    <w:p w:rsidR="0057481A" w:rsidRDefault="0057481A" w:rsidP="009A2562">
      <w:pPr>
        <w:pStyle w:val="Default"/>
        <w:rPr>
          <w:i/>
          <w:iCs/>
          <w:color w:val="1A1A1A"/>
          <w:sz w:val="22"/>
          <w:szCs w:val="22"/>
        </w:rPr>
      </w:pPr>
    </w:p>
    <w:p w:rsidR="009A2562" w:rsidRDefault="009A2562" w:rsidP="009A2562">
      <w:pPr>
        <w:pStyle w:val="Default"/>
        <w:rPr>
          <w:color w:val="1A1A1A"/>
          <w:sz w:val="22"/>
          <w:szCs w:val="22"/>
        </w:rPr>
      </w:pPr>
      <w:proofErr w:type="spellStart"/>
      <w:r>
        <w:rPr>
          <w:i/>
          <w:iCs/>
          <w:color w:val="1A1A1A"/>
          <w:sz w:val="22"/>
          <w:szCs w:val="22"/>
        </w:rPr>
        <w:t>Tirole</w:t>
      </w:r>
      <w:proofErr w:type="spellEnd"/>
      <w:r>
        <w:rPr>
          <w:color w:val="1A1A1A"/>
          <w:sz w:val="22"/>
          <w:szCs w:val="22"/>
        </w:rPr>
        <w:t xml:space="preserve">, “Nonlinear Pricing,” Chapter 3.5 through 3.5.2, pp. 153-160.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Dennis W. Carlton and Ken </w:t>
      </w:r>
      <w:proofErr w:type="spellStart"/>
      <w:r>
        <w:rPr>
          <w:color w:val="1A1A1A"/>
          <w:sz w:val="22"/>
          <w:szCs w:val="22"/>
        </w:rPr>
        <w:t>Heyer</w:t>
      </w:r>
      <w:proofErr w:type="spellEnd"/>
      <w:r>
        <w:rPr>
          <w:color w:val="1A1A1A"/>
          <w:sz w:val="22"/>
          <w:szCs w:val="22"/>
        </w:rPr>
        <w:t xml:space="preserve">, “Extraction vs. Extension: The Basis for Formulating Antitrust Policy Towards Single-Firm Conduct,” </w:t>
      </w:r>
      <w:r>
        <w:rPr>
          <w:i/>
          <w:iCs/>
          <w:color w:val="1A1A1A"/>
          <w:sz w:val="22"/>
          <w:szCs w:val="22"/>
        </w:rPr>
        <w:t>Competition Policy International</w:t>
      </w:r>
      <w:r>
        <w:rPr>
          <w:color w:val="1A1A1A"/>
          <w:sz w:val="22"/>
          <w:szCs w:val="22"/>
        </w:rPr>
        <w:t xml:space="preserve">, Vol. 4, No. 2 (Autumn 2008), pp. 285-305. A working paper version is available at: </w:t>
      </w:r>
    </w:p>
    <w:p w:rsidR="009A2562" w:rsidRDefault="009A2562" w:rsidP="009A2562">
      <w:pPr>
        <w:pStyle w:val="Default"/>
        <w:rPr>
          <w:color w:val="0000FF"/>
          <w:sz w:val="22"/>
          <w:szCs w:val="22"/>
        </w:rPr>
      </w:pPr>
      <w:r>
        <w:rPr>
          <w:color w:val="0000FF"/>
          <w:sz w:val="22"/>
          <w:szCs w:val="22"/>
        </w:rPr>
        <w:t xml:space="preserve">https://core.ac.uk/download/pdf/6565052.pdf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Ronald L. </w:t>
      </w:r>
      <w:proofErr w:type="spellStart"/>
      <w:r>
        <w:rPr>
          <w:color w:val="1A1A1A"/>
          <w:sz w:val="22"/>
          <w:szCs w:val="22"/>
        </w:rPr>
        <w:t>Goettler</w:t>
      </w:r>
      <w:proofErr w:type="spellEnd"/>
      <w:r>
        <w:rPr>
          <w:color w:val="1A1A1A"/>
          <w:sz w:val="22"/>
          <w:szCs w:val="22"/>
        </w:rPr>
        <w:t xml:space="preserve"> and Brett R. Gordon, “Does AMD Spur Intel to Innovate More?” </w:t>
      </w:r>
      <w:r>
        <w:rPr>
          <w:i/>
          <w:iCs/>
          <w:color w:val="1A1A1A"/>
          <w:sz w:val="22"/>
          <w:szCs w:val="22"/>
        </w:rPr>
        <w:t>Journal of Political Economy</w:t>
      </w:r>
      <w:r>
        <w:rPr>
          <w:color w:val="1A1A1A"/>
          <w:sz w:val="22"/>
          <w:szCs w:val="22"/>
        </w:rPr>
        <w:t xml:space="preserve">, Vol. 119, No. 6 (Dec. 2011), pp. 1141-1200. </w:t>
      </w:r>
    </w:p>
    <w:p w:rsidR="009A2562" w:rsidRDefault="009A2562" w:rsidP="009A2562">
      <w:pPr>
        <w:pStyle w:val="Default"/>
        <w:rPr>
          <w:color w:val="1A1A1A"/>
          <w:sz w:val="22"/>
          <w:szCs w:val="22"/>
        </w:rPr>
      </w:pPr>
    </w:p>
    <w:p w:rsidR="009A2562" w:rsidRDefault="009A2562" w:rsidP="009A2562">
      <w:pPr>
        <w:pStyle w:val="Default"/>
        <w:rPr>
          <w:color w:val="1A1A1A"/>
          <w:sz w:val="22"/>
          <w:szCs w:val="22"/>
        </w:rPr>
      </w:pPr>
      <w:r>
        <w:rPr>
          <w:color w:val="1A1A1A"/>
          <w:sz w:val="22"/>
          <w:szCs w:val="22"/>
        </w:rPr>
        <w:t xml:space="preserve">Patrick </w:t>
      </w:r>
      <w:proofErr w:type="spellStart"/>
      <w:r>
        <w:rPr>
          <w:color w:val="1A1A1A"/>
          <w:sz w:val="22"/>
          <w:szCs w:val="22"/>
        </w:rPr>
        <w:t>DeGraba</w:t>
      </w:r>
      <w:proofErr w:type="spellEnd"/>
      <w:r>
        <w:rPr>
          <w:color w:val="1A1A1A"/>
          <w:sz w:val="22"/>
          <w:szCs w:val="22"/>
        </w:rPr>
        <w:t xml:space="preserve"> and John Simpson, “Loyalty Discounts and Theories of Harm in the Intel Investigations,” </w:t>
      </w:r>
      <w:r>
        <w:rPr>
          <w:i/>
          <w:iCs/>
          <w:color w:val="1A1A1A"/>
          <w:sz w:val="22"/>
          <w:szCs w:val="22"/>
        </w:rPr>
        <w:t>Journal of Antitrust Enforcement</w:t>
      </w:r>
      <w:r>
        <w:rPr>
          <w:color w:val="1A1A1A"/>
          <w:sz w:val="22"/>
          <w:szCs w:val="22"/>
        </w:rPr>
        <w:t xml:space="preserve">, Vol. 2, No. 1, (2014), pp. 170-202. </w:t>
      </w:r>
    </w:p>
    <w:p w:rsidR="0057481A" w:rsidRDefault="0057481A" w:rsidP="009A2562">
      <w:pPr>
        <w:rPr>
          <w:b/>
          <w:bCs/>
        </w:rPr>
      </w:pPr>
    </w:p>
    <w:p w:rsidR="001B70FA" w:rsidRPr="009A2562" w:rsidRDefault="009A2562" w:rsidP="009A2562">
      <w:r>
        <w:rPr>
          <w:b/>
          <w:bCs/>
        </w:rPr>
        <w:t>**</w:t>
      </w:r>
      <w:r>
        <w:rPr>
          <w:b/>
          <w:bCs/>
          <w:color w:val="C00000"/>
        </w:rPr>
        <w:t xml:space="preserve"> F</w:t>
      </w:r>
      <w:r>
        <w:rPr>
          <w:b/>
          <w:bCs/>
          <w:color w:val="C00000"/>
          <w:sz w:val="18"/>
          <w:szCs w:val="18"/>
        </w:rPr>
        <w:t xml:space="preserve">INAL </w:t>
      </w:r>
      <w:r>
        <w:rPr>
          <w:b/>
          <w:bCs/>
          <w:color w:val="C00000"/>
        </w:rPr>
        <w:t>E</w:t>
      </w:r>
      <w:r>
        <w:rPr>
          <w:b/>
          <w:bCs/>
          <w:color w:val="C00000"/>
          <w:sz w:val="18"/>
          <w:szCs w:val="18"/>
        </w:rPr>
        <w:t xml:space="preserve">XAM </w:t>
      </w:r>
      <w:r>
        <w:rPr>
          <w:b/>
          <w:bCs/>
        </w:rPr>
        <w:t>**</w:t>
      </w:r>
    </w:p>
    <w:sectPr w:rsidR="001B70FA" w:rsidRPr="009A2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62"/>
    <w:rsid w:val="0057481A"/>
    <w:rsid w:val="006A0BBF"/>
    <w:rsid w:val="007640C8"/>
    <w:rsid w:val="008F4B99"/>
    <w:rsid w:val="00920330"/>
    <w:rsid w:val="009A2562"/>
    <w:rsid w:val="00CD6D71"/>
    <w:rsid w:val="00EB7CA3"/>
    <w:rsid w:val="00F16DFA"/>
    <w:rsid w:val="00F76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D08F8"/>
  <w15:chartTrackingRefBased/>
  <w15:docId w15:val="{F0E90252-6B95-4ABF-8A79-10558F957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2562"/>
    <w:pPr>
      <w:autoSpaceDE w:val="0"/>
      <w:autoSpaceDN w:val="0"/>
      <w:adjustRightInd w:val="0"/>
      <w:spacing w:after="0" w:line="240" w:lineRule="auto"/>
    </w:pPr>
    <w:rPr>
      <w:rFonts w:ascii="Constantia" w:hAnsi="Constantia" w:cs="Constantia"/>
      <w:color w:val="000000"/>
      <w:sz w:val="24"/>
      <w:szCs w:val="24"/>
    </w:rPr>
  </w:style>
  <w:style w:type="character" w:styleId="Hyperlink">
    <w:name w:val="Hyperlink"/>
    <w:basedOn w:val="DefaultParagraphFont"/>
    <w:uiPriority w:val="99"/>
    <w:unhideWhenUsed/>
    <w:rsid w:val="00EB7CA3"/>
    <w:rPr>
      <w:color w:val="0563C1" w:themeColor="hyperlink"/>
      <w:u w:val="single"/>
    </w:rPr>
  </w:style>
  <w:style w:type="paragraph" w:styleId="BalloonText">
    <w:name w:val="Balloon Text"/>
    <w:basedOn w:val="Normal"/>
    <w:link w:val="BalloonTextChar"/>
    <w:uiPriority w:val="99"/>
    <w:semiHidden/>
    <w:unhideWhenUsed/>
    <w:rsid w:val="00F76C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C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obert.Arons@usdo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1978</Words>
  <Characters>11278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Antitrust Division, U.S. Department of Justice</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Arons, Robert</dc:creator>
  <cp:keywords/>
  <dc:description/>
  <cp:lastModifiedBy>Arons, Robert (ATR)</cp:lastModifiedBy>
  <cp:revision>6</cp:revision>
  <cp:lastPrinted>2019-01-16T18:33:00Z</cp:lastPrinted>
  <dcterms:created xsi:type="dcterms:W3CDTF">2019-01-16T18:16:00Z</dcterms:created>
  <dcterms:modified xsi:type="dcterms:W3CDTF">2019-11-01T15:03:00Z</dcterms:modified>
</cp:coreProperties>
</file>